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6"/>
        <w:adjustRightInd w:val="0"/>
        <w:snapToGrid w:val="0"/>
        <w:spacing w:line="240" w:lineRule="auto"/>
        <w:rPr>
          <w:rFonts w:hint="eastAsia" w:ascii="微软雅黑" w:hAnsi="微软雅黑" w:eastAsia="微软雅黑" w:cs="微软雅黑"/>
          <w:color w:val="000000" w:themeColor="text1"/>
          <w:lang w:eastAsia="zh-CN"/>
          <w14:textFill>
            <w14:solidFill>
              <w14:schemeClr w14:val="tx1"/>
            </w14:solidFill>
          </w14:textFill>
        </w:rPr>
      </w:pPr>
      <w:r>
        <w:rPr>
          <w:rFonts w:hint="eastAsia" w:ascii="微软雅黑" w:hAnsi="微软雅黑" w:eastAsia="微软雅黑" w:cs="微软雅黑"/>
          <w:color w:val="000000" w:themeColor="text1"/>
          <w:lang w:eastAsia="zh-CN"/>
          <w14:textFill>
            <w14:solidFill>
              <w14:schemeClr w14:val="tx1"/>
            </w14:solidFill>
          </w14:textFill>
        </w:rPr>
        <w:drawing>
          <wp:anchor distT="0" distB="0" distL="114300" distR="114300" simplePos="0" relativeHeight="251659264" behindDoc="0" locked="0" layoutInCell="1" allowOverlap="1">
            <wp:simplePos x="0" y="0"/>
            <wp:positionH relativeFrom="column">
              <wp:posOffset>-660400</wp:posOffset>
            </wp:positionH>
            <wp:positionV relativeFrom="paragraph">
              <wp:posOffset>-647065</wp:posOffset>
            </wp:positionV>
            <wp:extent cx="7588250" cy="10732135"/>
            <wp:effectExtent l="0" t="0" r="6350" b="12065"/>
            <wp:wrapNone/>
            <wp:docPr id="12" name="图片 12" descr="扬州农商银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扬州农商银行"/>
                    <pic:cNvPicPr>
                      <a:picLocks noChangeAspect="1"/>
                    </pic:cNvPicPr>
                  </pic:nvPicPr>
                  <pic:blipFill>
                    <a:blip r:embed="rId26"/>
                    <a:stretch>
                      <a:fillRect/>
                    </a:stretch>
                  </pic:blipFill>
                  <pic:spPr>
                    <a:xfrm>
                      <a:off x="0" y="0"/>
                      <a:ext cx="7588250" cy="10732135"/>
                    </a:xfrm>
                    <a:prstGeom prst="rect">
                      <a:avLst/>
                    </a:prstGeom>
                  </pic:spPr>
                </pic:pic>
              </a:graphicData>
            </a:graphic>
          </wp:anchor>
        </w:drawing>
      </w:r>
    </w:p>
    <w:p>
      <w:pPr>
        <w:pStyle w:val="46"/>
        <w:adjustRightInd w:val="0"/>
        <w:snapToGrid w:val="0"/>
        <w:spacing w:line="240" w:lineRule="auto"/>
        <w:rPr>
          <w:rFonts w:ascii="微软雅黑" w:hAnsi="微软雅黑" w:eastAsia="微软雅黑" w:cs="微软雅黑"/>
          <w:color w:val="000000" w:themeColor="text1"/>
          <w14:textFill>
            <w14:solidFill>
              <w14:schemeClr w14:val="tx1"/>
            </w14:solidFill>
          </w14:textFill>
        </w:rPr>
      </w:pPr>
    </w:p>
    <w:p>
      <w:pPr>
        <w:pStyle w:val="46"/>
        <w:widowControl/>
        <w:kinsoku w:val="0"/>
        <w:autoSpaceDE w:val="0"/>
        <w:autoSpaceDN w:val="0"/>
        <w:adjustRightInd w:val="0"/>
        <w:snapToGrid w:val="0"/>
        <w:spacing w:line="240" w:lineRule="auto"/>
        <w:jc w:val="both"/>
        <w:textAlignment w:val="baseline"/>
        <w:rPr>
          <w:rFonts w:ascii="微软雅黑" w:hAnsi="微软雅黑" w:eastAsia="微软雅黑" w:cs="微软雅黑"/>
          <w:snapToGrid w:val="0"/>
          <w:color w:val="000000" w:themeColor="text1"/>
          <w:kern w:val="0"/>
          <w:sz w:val="60"/>
          <w:szCs w:val="60"/>
          <w14:textFill>
            <w14:solidFill>
              <w14:schemeClr w14:val="tx1"/>
            </w14:solidFill>
          </w14:textFill>
        </w:rPr>
      </w:pPr>
    </w:p>
    <w:p>
      <w:pPr>
        <w:pStyle w:val="46"/>
        <w:widowControl/>
        <w:kinsoku w:val="0"/>
        <w:autoSpaceDE w:val="0"/>
        <w:autoSpaceDN w:val="0"/>
        <w:adjustRightInd w:val="0"/>
        <w:snapToGrid w:val="0"/>
        <w:spacing w:line="240" w:lineRule="auto"/>
        <w:jc w:val="right"/>
        <w:textAlignment w:val="baseline"/>
        <w:rPr>
          <w:rFonts w:ascii="微软雅黑" w:hAnsi="微软雅黑" w:eastAsia="微软雅黑" w:cs="微软雅黑"/>
          <w:snapToGrid w:val="0"/>
          <w:color w:val="000000" w:themeColor="text1"/>
          <w:kern w:val="0"/>
          <w:sz w:val="60"/>
          <w:szCs w:val="60"/>
          <w14:textFill>
            <w14:solidFill>
              <w14:schemeClr w14:val="tx1"/>
            </w14:solidFill>
          </w14:textFill>
        </w:rPr>
      </w:pPr>
    </w:p>
    <w:p>
      <w:pPr>
        <w:pStyle w:val="46"/>
        <w:widowControl/>
        <w:kinsoku w:val="0"/>
        <w:autoSpaceDE w:val="0"/>
        <w:autoSpaceDN w:val="0"/>
        <w:adjustRightInd w:val="0"/>
        <w:snapToGrid w:val="0"/>
        <w:spacing w:line="240" w:lineRule="auto"/>
        <w:textAlignment w:val="baseline"/>
        <w:rPr>
          <w:rFonts w:ascii="方正大黑简体" w:hAnsi="方正大黑简体" w:eastAsia="方正大黑简体" w:cs="方正大黑简体"/>
          <w:b w:val="0"/>
          <w:bCs/>
          <w:snapToGrid w:val="0"/>
          <w:color w:val="000000" w:themeColor="text1"/>
          <w:kern w:val="0"/>
          <w:sz w:val="52"/>
          <w:szCs w:val="52"/>
          <w14:textFill>
            <w14:solidFill>
              <w14:schemeClr w14:val="tx1"/>
            </w14:solidFill>
          </w14:textFill>
        </w:rPr>
      </w:pPr>
      <w:r>
        <w:rPr>
          <w:rFonts w:hint="eastAsia" w:ascii="黑体" w:hAnsi="黑体" w:eastAsia="黑体" w:cs="黑体"/>
          <w:b w:val="0"/>
          <w:bCs/>
          <w:snapToGrid w:val="0"/>
          <w:color w:val="000000" w:themeColor="text1"/>
          <w:kern w:val="0"/>
          <w:sz w:val="48"/>
          <w:szCs w:val="48"/>
          <w14:textFill>
            <w14:solidFill>
              <w14:schemeClr w14:val="tx1"/>
            </w14:solidFill>
          </w14:textFill>
        </w:rPr>
        <w:t>扬州农村商业银行股份有限公司</w:t>
      </w:r>
    </w:p>
    <w:p>
      <w:pPr>
        <w:pStyle w:val="46"/>
        <w:widowControl/>
        <w:kinsoku w:val="0"/>
        <w:autoSpaceDE w:val="0"/>
        <w:autoSpaceDN w:val="0"/>
        <w:adjustRightInd w:val="0"/>
        <w:snapToGrid w:val="0"/>
        <w:spacing w:line="240" w:lineRule="auto"/>
        <w:textAlignment w:val="baseline"/>
        <w:rPr>
          <w:rFonts w:ascii="方正大黑简体" w:hAnsi="方正大黑简体" w:eastAsia="方正大黑简体" w:cs="方正大黑简体"/>
          <w:b w:val="0"/>
          <w:bCs/>
          <w:snapToGrid w:val="0"/>
          <w:color w:val="00B050"/>
          <w:kern w:val="0"/>
          <w:sz w:val="72"/>
          <w:szCs w:val="72"/>
        </w:rPr>
      </w:pPr>
      <w:r>
        <w:rPr>
          <w:rFonts w:hint="eastAsia" w:ascii="方正大黑简体" w:hAnsi="方正大黑简体" w:eastAsia="方正大黑简体" w:cs="方正大黑简体"/>
          <w:b w:val="0"/>
          <w:bCs/>
          <w:snapToGrid w:val="0"/>
          <w:color w:val="00B050"/>
          <w:kern w:val="0"/>
          <w:sz w:val="72"/>
          <w:szCs w:val="72"/>
        </w:rPr>
        <w:t>2023年度环境信息披露报告</w:t>
      </w:r>
    </w:p>
    <w:p>
      <w:pPr>
        <w:pStyle w:val="46"/>
        <w:widowControl/>
        <w:kinsoku w:val="0"/>
        <w:autoSpaceDE w:val="0"/>
        <w:autoSpaceDN w:val="0"/>
        <w:adjustRightInd w:val="0"/>
        <w:snapToGrid w:val="0"/>
        <w:spacing w:line="240" w:lineRule="auto"/>
        <w:textAlignment w:val="baseline"/>
        <w:rPr>
          <w:rFonts w:ascii="方正大黑简体" w:hAnsi="方正大黑简体" w:eastAsia="方正大黑简体" w:cs="方正大黑简体"/>
          <w:b w:val="0"/>
          <w:bCs/>
          <w:snapToGrid w:val="0"/>
          <w:color w:val="000000" w:themeColor="text1"/>
          <w:kern w:val="0"/>
          <w:sz w:val="52"/>
          <w:szCs w:val="52"/>
          <w14:textFill>
            <w14:solidFill>
              <w14:schemeClr w14:val="tx1"/>
            </w14:solidFill>
          </w14:textFill>
        </w:rPr>
      </w:pPr>
    </w:p>
    <w:p>
      <w:pPr>
        <w:pStyle w:val="46"/>
        <w:widowControl/>
        <w:kinsoku w:val="0"/>
        <w:autoSpaceDE w:val="0"/>
        <w:autoSpaceDN w:val="0"/>
        <w:adjustRightInd w:val="0"/>
        <w:snapToGrid w:val="0"/>
        <w:spacing w:line="240" w:lineRule="auto"/>
        <w:textAlignment w:val="baseline"/>
        <w:rPr>
          <w:rFonts w:ascii="方正大黑简体" w:hAnsi="方正大黑简体" w:eastAsia="方正大黑简体" w:cs="方正大黑简体"/>
          <w:b w:val="0"/>
          <w:bCs/>
          <w:snapToGrid w:val="0"/>
          <w:color w:val="000000" w:themeColor="text1"/>
          <w:kern w:val="0"/>
          <w:sz w:val="52"/>
          <w:szCs w:val="52"/>
          <w14:textFill>
            <w14:solidFill>
              <w14:schemeClr w14:val="tx1"/>
            </w14:solidFill>
          </w14:textFill>
        </w:rPr>
      </w:pPr>
    </w:p>
    <w:p>
      <w:pPr>
        <w:pStyle w:val="46"/>
        <w:adjustRightInd w:val="0"/>
        <w:snapToGrid w:val="0"/>
        <w:spacing w:line="240" w:lineRule="auto"/>
        <w:rPr>
          <w:rFonts w:ascii="方正大黑简体" w:hAnsi="方正大黑简体" w:eastAsia="方正大黑简体" w:cs="方正大黑简体"/>
          <w:b w:val="0"/>
          <w:bCs/>
          <w:color w:val="000000" w:themeColor="text1"/>
          <w14:textFill>
            <w14:solidFill>
              <w14:schemeClr w14:val="tx1"/>
            </w14:solidFill>
          </w14:textFill>
        </w:rPr>
      </w:pPr>
    </w:p>
    <w:p>
      <w:pPr>
        <w:pStyle w:val="46"/>
        <w:adjustRightInd w:val="0"/>
        <w:snapToGrid w:val="0"/>
        <w:spacing w:line="240" w:lineRule="auto"/>
        <w:rPr>
          <w:rFonts w:ascii="方正大黑简体" w:hAnsi="方正大黑简体" w:eastAsia="方正大黑简体" w:cs="方正大黑简体"/>
          <w:b w:val="0"/>
          <w:bCs/>
          <w:color w:val="000000" w:themeColor="text1"/>
          <w14:textFill>
            <w14:solidFill>
              <w14:schemeClr w14:val="tx1"/>
            </w14:solidFill>
          </w14:textFill>
        </w:rPr>
      </w:pPr>
    </w:p>
    <w:p>
      <w:pPr>
        <w:pStyle w:val="46"/>
        <w:adjustRightInd w:val="0"/>
        <w:snapToGrid w:val="0"/>
        <w:spacing w:line="240" w:lineRule="auto"/>
        <w:jc w:val="both"/>
        <w:rPr>
          <w:rFonts w:ascii="方正大黑简体" w:hAnsi="方正大黑简体" w:eastAsia="方正大黑简体" w:cs="方正大黑简体"/>
          <w:b w:val="0"/>
          <w:bCs/>
          <w:color w:val="000000" w:themeColor="text1"/>
          <w14:textFill>
            <w14:solidFill>
              <w14:schemeClr w14:val="tx1"/>
            </w14:solidFill>
          </w14:textFill>
        </w:rPr>
      </w:pPr>
    </w:p>
    <w:p>
      <w:pPr>
        <w:pStyle w:val="46"/>
        <w:adjustRightInd w:val="0"/>
        <w:snapToGrid w:val="0"/>
        <w:spacing w:line="240" w:lineRule="auto"/>
        <w:jc w:val="both"/>
        <w:rPr>
          <w:rFonts w:ascii="方正大黑简体" w:hAnsi="方正大黑简体" w:eastAsia="方正大黑简体" w:cs="方正大黑简体"/>
          <w:b w:val="0"/>
          <w:bCs/>
          <w:color w:val="000000" w:themeColor="text1"/>
          <w14:textFill>
            <w14:solidFill>
              <w14:schemeClr w14:val="tx1"/>
            </w14:solidFill>
          </w14:textFill>
        </w:rPr>
      </w:pPr>
    </w:p>
    <w:p>
      <w:pPr>
        <w:pStyle w:val="48"/>
        <w:adjustRightInd w:val="0"/>
        <w:snapToGrid w:val="0"/>
        <w:spacing w:line="240" w:lineRule="auto"/>
        <w:ind w:firstLine="0" w:firstLineChars="0"/>
        <w:jc w:val="center"/>
        <w:rPr>
          <w:rFonts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报告主体：</w:t>
      </w:r>
      <w:r>
        <w:rPr>
          <w:rFonts w:hint="eastAsia" w:hAnsi="黑体" w:eastAsia="黑体" w:cs="黑体"/>
          <w:bCs/>
          <w:color w:val="000000" w:themeColor="text1"/>
          <w:sz w:val="32"/>
          <w:szCs w:val="32"/>
          <w14:textFill>
            <w14:solidFill>
              <w14:schemeClr w14:val="tx1"/>
            </w14:solidFill>
          </w14:textFill>
        </w:rPr>
        <w:t>扬州农村商业银行</w:t>
      </w:r>
      <w:r>
        <w:rPr>
          <w:rFonts w:hint="eastAsia" w:ascii="黑体" w:hAnsi="黑体" w:eastAsia="黑体" w:cs="黑体"/>
          <w:bCs/>
          <w:color w:val="000000" w:themeColor="text1"/>
          <w:sz w:val="32"/>
          <w:szCs w:val="32"/>
          <w14:textFill>
            <w14:solidFill>
              <w14:schemeClr w14:val="tx1"/>
            </w14:solidFill>
          </w14:textFill>
        </w:rPr>
        <w:t>股份有限公司</w:t>
      </w:r>
    </w:p>
    <w:p>
      <w:pPr>
        <w:pStyle w:val="48"/>
        <w:adjustRightInd w:val="0"/>
        <w:snapToGrid w:val="0"/>
        <w:spacing w:line="240" w:lineRule="auto"/>
        <w:ind w:firstLine="0" w:firstLineChars="0"/>
        <w:jc w:val="center"/>
        <w:rPr>
          <w:rFonts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编制日期：2024年08月20日</w:t>
      </w:r>
    </w:p>
    <w:p>
      <w:pPr>
        <w:widowControl/>
        <w:spacing w:line="240" w:lineRule="auto"/>
        <w:ind w:firstLine="0" w:firstLineChars="0"/>
        <w:jc w:val="left"/>
        <w:rPr>
          <w:rFonts w:ascii="黑体" w:hAnsi="黑体" w:eastAsia="黑体" w:cs="黑体"/>
          <w:bCs/>
          <w:color w:val="000000" w:themeColor="text1"/>
          <w:szCs w:val="32"/>
          <w14:textFill>
            <w14:solidFill>
              <w14:schemeClr w14:val="tx1"/>
            </w14:solidFill>
          </w14:textFill>
        </w:rPr>
      </w:pPr>
      <w:r>
        <w:rPr>
          <w:rFonts w:ascii="黑体" w:hAnsi="黑体" w:eastAsia="黑体" w:cs="黑体"/>
          <w:bCs/>
          <w:color w:val="000000" w:themeColor="text1"/>
          <w:szCs w:val="32"/>
          <w14:textFill>
            <w14:solidFill>
              <w14:schemeClr w14:val="tx1"/>
            </w14:solidFill>
          </w14:textFill>
        </w:rPr>
        <w:br w:type="page"/>
      </w:r>
    </w:p>
    <w:sdt>
      <w:sdtPr>
        <w:rPr>
          <w:rFonts w:ascii="Times New Roman" w:hAnsi="Times New Roman" w:eastAsia="方正仿宋_GBK" w:cs="宋体"/>
          <w:color w:val="auto"/>
          <w:kern w:val="2"/>
          <w:szCs w:val="22"/>
          <w:lang w:val="zh-CN"/>
        </w:rPr>
        <w:id w:val="-1"/>
        <w:docPartObj>
          <w:docPartGallery w:val="Table of Contents"/>
          <w:docPartUnique/>
        </w:docPartObj>
      </w:sdtPr>
      <w:sdtEndPr>
        <w:rPr>
          <w:rFonts w:ascii="Times New Roman" w:hAnsi="Times New Roman" w:eastAsia="方正仿宋_GBK" w:cs="宋体"/>
          <w:b/>
          <w:bCs/>
          <w:color w:val="auto"/>
          <w:kern w:val="2"/>
          <w:szCs w:val="22"/>
          <w:lang w:val="zh-CN"/>
        </w:rPr>
      </w:sdtEndPr>
      <w:sdtContent>
        <w:p>
          <w:pPr>
            <w:pStyle w:val="61"/>
            <w:numPr>
              <w:ilvl w:val="0"/>
              <w:numId w:val="0"/>
            </w:numPr>
            <w:spacing w:before="0" w:line="240" w:lineRule="auto"/>
            <w:ind w:left="1060"/>
            <w:rPr>
              <w:rFonts w:ascii="微软雅黑" w:hAnsi="微软雅黑" w:eastAsia="微软雅黑"/>
              <w:b/>
              <w:color w:val="auto"/>
            </w:rPr>
          </w:pPr>
          <w:r>
            <w:rPr>
              <w:rFonts w:ascii="微软雅黑" w:hAnsi="微软雅黑" w:eastAsia="微软雅黑"/>
              <w:b/>
              <w:color w:val="auto"/>
              <w:lang w:val="zh-CN"/>
            </w:rPr>
            <w:t>目</w:t>
          </w:r>
          <w:r>
            <w:rPr>
              <w:rFonts w:hint="eastAsia" w:ascii="微软雅黑" w:hAnsi="微软雅黑" w:eastAsia="微软雅黑"/>
              <w:b/>
              <w:color w:val="auto"/>
              <w:lang w:val="zh-CN"/>
            </w:rPr>
            <w:t xml:space="preserve"> </w:t>
          </w:r>
          <w:r>
            <w:rPr>
              <w:rFonts w:ascii="微软雅黑" w:hAnsi="微软雅黑" w:eastAsia="微软雅黑"/>
              <w:b/>
              <w:color w:val="auto"/>
              <w:lang w:val="zh-CN"/>
            </w:rPr>
            <w:t>录</w:t>
          </w:r>
        </w:p>
        <w:p>
          <w:pPr>
            <w:pStyle w:val="18"/>
            <w:tabs>
              <w:tab w:val="left" w:pos="1260"/>
              <w:tab w:val="right" w:leader="dot" w:pos="9900"/>
            </w:tabs>
            <w:rPr>
              <w:rFonts w:asciiTheme="minorHAnsi" w:hAnsiTheme="minorHAnsi" w:eastAsiaTheme="minorEastAsia" w:cstheme="minorBidi"/>
              <w:b w:val="0"/>
              <w:kern w:val="2"/>
              <w:sz w:val="21"/>
            </w:rPr>
          </w:pPr>
          <w:r>
            <w:rPr>
              <w:b w:val="0"/>
            </w:rPr>
            <w:fldChar w:fldCharType="begin"/>
          </w:r>
          <w:r>
            <w:rPr>
              <w:b w:val="0"/>
            </w:rPr>
            <w:instrText xml:space="preserve"> TOC \o "1-2" \h \z \u </w:instrText>
          </w:r>
          <w:r>
            <w:rPr>
              <w:b w:val="0"/>
            </w:rPr>
            <w:fldChar w:fldCharType="separate"/>
          </w:r>
          <w:r>
            <w:fldChar w:fldCharType="begin"/>
          </w:r>
          <w:r>
            <w:instrText xml:space="preserve"> HYPERLINK \l "_Toc175304984" </w:instrText>
          </w:r>
          <w:r>
            <w:fldChar w:fldCharType="separate"/>
          </w:r>
          <w:r>
            <w:rPr>
              <w:rStyle w:val="26"/>
            </w:rPr>
            <w:t>第一章</w:t>
          </w:r>
          <w:r>
            <w:rPr>
              <w:rFonts w:asciiTheme="minorHAnsi" w:hAnsiTheme="minorHAnsi" w:eastAsiaTheme="minorEastAsia" w:cstheme="minorBidi"/>
              <w:b w:val="0"/>
              <w:kern w:val="2"/>
              <w:sz w:val="21"/>
            </w:rPr>
            <w:tab/>
          </w:r>
          <w:r>
            <w:rPr>
              <w:rStyle w:val="26"/>
            </w:rPr>
            <w:t>披露主体</w:t>
          </w:r>
          <w:r>
            <w:tab/>
          </w:r>
          <w:r>
            <w:fldChar w:fldCharType="begin"/>
          </w:r>
          <w:r>
            <w:instrText xml:space="preserve"> PAGEREF _Toc175304984 \h </w:instrText>
          </w:r>
          <w:r>
            <w:fldChar w:fldCharType="separate"/>
          </w:r>
          <w:r>
            <w:t>1</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"_Toc175304985"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1.1 编制说明</w:t>
          </w:r>
          <w:r>
            <w:tab/>
          </w:r>
          <w:r>
            <w:fldChar w:fldCharType="begin"/>
          </w:r>
          <w:r>
            <w:instrText xml:space="preserve"> PAGEREF _Toc175304985 \h </w:instrText>
          </w:r>
          <w:r>
            <w:fldChar w:fldCharType="separate"/>
          </w:r>
          <w:r>
            <w:t>1</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"_Toc175304986"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1.2 基本信息</w:t>
          </w:r>
          <w:r>
            <w:tab/>
          </w:r>
          <w:r>
            <w:fldChar w:fldCharType="begin"/>
          </w:r>
          <w:r>
            <w:instrText xml:space="preserve"> PAGEREF _Toc175304986 \h </w:instrText>
          </w:r>
          <w:r>
            <w:fldChar w:fldCharType="separate"/>
          </w:r>
          <w:r>
            <w:t>1</w:t>
          </w:r>
          <w:r>
            <w:fldChar w:fldCharType="end"/>
          </w:r>
          <w:r>
            <w:fldChar w:fldCharType="end"/>
          </w:r>
        </w:p>
        <w:p>
          <w:pPr>
            <w:pStyle w:val="18"/>
            <w:tabs>
              <w:tab w:val="left" w:pos="1260"/>
              <w:tab w:val="right" w:leader="dot" w:pos="9900"/>
            </w:tabs>
            <w:rPr>
              <w:rFonts w:asciiTheme="minorHAnsi" w:hAnsiTheme="minorHAnsi" w:eastAsiaTheme="minorEastAsia" w:cstheme="minorBidi"/>
              <w:b w:val="0"/>
              <w:kern w:val="2"/>
              <w:sz w:val="21"/>
            </w:rPr>
          </w:pPr>
          <w:r>
            <w:fldChar w:fldCharType="begin"/>
          </w:r>
          <w:r>
            <w:instrText xml:space="preserve"> HYPERLINK \l "_Toc175304987" </w:instrText>
          </w:r>
          <w:r>
            <w:fldChar w:fldCharType="separate"/>
          </w:r>
          <w:r>
            <w:rPr>
              <w:rStyle w:val="26"/>
            </w:rPr>
            <w:t>第二章</w:t>
          </w:r>
          <w:r>
            <w:rPr>
              <w:rFonts w:asciiTheme="minorHAnsi" w:hAnsiTheme="minorHAnsi" w:eastAsiaTheme="minorEastAsia" w:cstheme="minorBidi"/>
              <w:b w:val="0"/>
              <w:kern w:val="2"/>
              <w:sz w:val="21"/>
            </w:rPr>
            <w:tab/>
          </w:r>
          <w:r>
            <w:rPr>
              <w:rStyle w:val="26"/>
            </w:rPr>
            <w:t>年度概况</w:t>
          </w:r>
          <w:r>
            <w:tab/>
          </w:r>
          <w:r>
            <w:rPr>
              <w:rFonts w:hint="eastAsia"/>
              <w:lang w:val="en-US" w:eastAsia="zh-CN"/>
            </w:rPr>
            <w:t>3</w:t>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"_Toc175304988"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2.1 目标愿景</w:t>
          </w:r>
          <w:r>
            <w:tab/>
          </w:r>
          <w:r>
            <w:rPr>
              <w:rFonts w:hint="eastAsia"/>
              <w:lang w:val="en-US" w:eastAsia="zh-CN"/>
            </w:rPr>
            <w:t>3</w:t>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"_Toc175304989"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2.2 战略规划</w:t>
          </w:r>
          <w:r>
            <w:tab/>
          </w:r>
          <w:r>
            <w:rPr>
              <w:rFonts w:hint="eastAsia"/>
              <w:lang w:val="en-US" w:eastAsia="zh-CN"/>
            </w:rPr>
            <w:t>3</w:t>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"_Toc175304990"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2.3 政策内容</w:t>
          </w:r>
          <w:r>
            <w:tab/>
          </w:r>
          <w:r>
            <w:rPr>
              <w:rFonts w:hint="eastAsia"/>
              <w:lang w:val="en-US" w:eastAsia="zh-CN"/>
            </w:rPr>
            <w:t>4</w:t>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"_Toc175304991"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2.4 行动措施</w:t>
          </w:r>
          <w:r>
            <w:tab/>
          </w:r>
          <w:r>
            <w:rPr>
              <w:rFonts w:hint="eastAsia"/>
              <w:lang w:val="en-US" w:eastAsia="zh-CN"/>
            </w:rPr>
            <w:t>5</w:t>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"_Toc175304992"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2.5 主要成效</w:t>
          </w:r>
          <w:r>
            <w:tab/>
          </w:r>
          <w:r>
            <w:rPr>
              <w:rFonts w:hint="eastAsia"/>
              <w:lang w:val="en-US" w:eastAsia="zh-CN"/>
            </w:rPr>
            <w:t>6</w:t>
          </w:r>
          <w:r>
            <w:fldChar w:fldCharType="end"/>
          </w:r>
        </w:p>
        <w:p>
          <w:pPr>
            <w:pStyle w:val="18"/>
            <w:tabs>
              <w:tab w:val="left" w:pos="1260"/>
              <w:tab w:val="right" w:leader="dot" w:pos="9900"/>
            </w:tabs>
            <w:rPr>
              <w:rFonts w:asciiTheme="minorHAnsi" w:hAnsiTheme="minorHAnsi" w:eastAsiaTheme="minorEastAsia" w:cstheme="minorBidi"/>
              <w:b w:val="0"/>
              <w:kern w:val="2"/>
              <w:sz w:val="21"/>
            </w:rPr>
          </w:pPr>
          <w:r>
            <w:fldChar w:fldCharType="begin"/>
          </w:r>
          <w:r>
            <w:instrText xml:space="preserve"> HYPERLINK \l "_Toc175304993" </w:instrText>
          </w:r>
          <w:r>
            <w:fldChar w:fldCharType="separate"/>
          </w:r>
          <w:r>
            <w:rPr>
              <w:rStyle w:val="26"/>
            </w:rPr>
            <w:t>第三章</w:t>
          </w:r>
          <w:r>
            <w:rPr>
              <w:rFonts w:asciiTheme="minorHAnsi" w:hAnsiTheme="minorHAnsi" w:eastAsiaTheme="minorEastAsia" w:cstheme="minorBidi"/>
              <w:b w:val="0"/>
              <w:kern w:val="2"/>
              <w:sz w:val="21"/>
            </w:rPr>
            <w:tab/>
          </w:r>
          <w:r>
            <w:rPr>
              <w:rStyle w:val="26"/>
            </w:rPr>
            <w:t>治理结构</w:t>
          </w:r>
          <w:r>
            <w:tab/>
          </w:r>
          <w:r>
            <w:rPr>
              <w:rFonts w:hint="eastAsia"/>
              <w:lang w:val="en-US" w:eastAsia="zh-CN"/>
            </w:rPr>
            <w:t>7</w:t>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"_Toc175304994"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3.1 董事会层</w:t>
          </w:r>
          <w:r>
            <w:tab/>
          </w:r>
          <w:r>
            <w:rPr>
              <w:rFonts w:hint="eastAsia"/>
              <w:lang w:val="en-US" w:eastAsia="zh-CN"/>
            </w:rPr>
            <w:t>7</w:t>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"_Toc175304995"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3.2 高级管理层</w:t>
          </w:r>
          <w:r>
            <w:tab/>
          </w:r>
          <w:r>
            <w:rPr>
              <w:rFonts w:hint="eastAsia"/>
              <w:lang w:val="en-US" w:eastAsia="zh-CN"/>
            </w:rPr>
            <w:t>8</w:t>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"_Toc175304996"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3.3 专业执行层</w:t>
          </w:r>
          <w:r>
            <w:tab/>
          </w:r>
          <w:r>
            <w:rPr>
              <w:rFonts w:hint="eastAsia"/>
              <w:lang w:val="en-US" w:eastAsia="zh-CN"/>
            </w:rPr>
            <w:t>9</w:t>
          </w:r>
          <w:r>
            <w:fldChar w:fldCharType="end"/>
          </w:r>
        </w:p>
        <w:p>
          <w:pPr>
            <w:pStyle w:val="18"/>
            <w:tabs>
              <w:tab w:val="left" w:pos="1260"/>
              <w:tab w:val="right" w:leader="dot" w:pos="9900"/>
            </w:tabs>
            <w:rPr>
              <w:rFonts w:hint="eastAsia" w:eastAsia="微软雅黑" w:asciiTheme="minorHAnsi" w:hAnsiTheme="minorHAnsi" w:cstheme="minorBidi"/>
              <w:b w:val="0"/>
              <w:kern w:val="2"/>
              <w:sz w:val="21"/>
              <w:lang w:val="en-US" w:eastAsia="zh-CN"/>
            </w:rPr>
          </w:pPr>
          <w:r>
            <w:fldChar w:fldCharType="begin"/>
          </w:r>
          <w:r>
            <w:instrText xml:space="preserve"> HYPERLINK \l "_Toc175304997" </w:instrText>
          </w:r>
          <w:r>
            <w:fldChar w:fldCharType="separate"/>
          </w:r>
          <w:r>
            <w:rPr>
              <w:rStyle w:val="26"/>
              <w:rFonts w:hAnsi="仿宋" w:cs="仿宋"/>
              <w:snapToGrid w:val="0"/>
              <w:spacing w:val="6"/>
            </w:rPr>
            <w:t>第四章</w:t>
          </w:r>
          <w:r>
            <w:rPr>
              <w:rFonts w:asciiTheme="minorHAnsi" w:hAnsiTheme="minorHAnsi" w:eastAsiaTheme="minorEastAsia" w:cstheme="minorBidi"/>
              <w:b w:val="0"/>
              <w:kern w:val="2"/>
              <w:sz w:val="21"/>
            </w:rPr>
            <w:tab/>
          </w:r>
          <w:r>
            <w:rPr>
              <w:rStyle w:val="26"/>
            </w:rPr>
            <w:t>政策制度</w:t>
          </w:r>
          <w:r>
            <w:tab/>
          </w:r>
          <w:r>
            <w:rPr>
              <w:rFonts w:hint="eastAsia"/>
              <w:lang w:val="en-US" w:eastAsia="zh-CN"/>
            </w:rPr>
            <w:t>1</w:t>
          </w:r>
          <w:r>
            <w:fldChar w:fldCharType="end"/>
          </w:r>
          <w:r>
            <w:rPr>
              <w:rFonts w:hint="eastAsia"/>
              <w:lang w:val="en-US" w:eastAsia="zh-CN"/>
            </w:rPr>
            <w:t>0</w:t>
          </w:r>
        </w:p>
        <w:p>
          <w:pPr>
            <w:pStyle w:val="20"/>
            <w:tabs>
              <w:tab w:val="left" w:pos="630"/>
              <w:tab w:val="right" w:leader="dot" w:pos="9900"/>
            </w:tabs>
            <w:rPr>
              <w:rFonts w:hint="eastAsia" w:eastAsia="微软雅黑" w:asciiTheme="minorHAnsi" w:hAnsiTheme="minorHAnsi" w:cstheme="minorBidi"/>
              <w:kern w:val="2"/>
              <w:sz w:val="21"/>
              <w:lang w:val="en-US" w:eastAsia="zh-CN"/>
            </w:rPr>
          </w:pPr>
          <w:r>
            <w:fldChar w:fldCharType="begin"/>
          </w:r>
          <w:r>
            <w:instrText xml:space="preserve"> HYPERLINK \l "_Toc175304998"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4.1 公司政策</w:t>
          </w:r>
          <w:r>
            <w:tab/>
          </w:r>
          <w:r>
            <w:rPr>
              <w:rFonts w:hint="eastAsia"/>
              <w:lang w:val="en-US" w:eastAsia="zh-CN"/>
            </w:rPr>
            <w:t>1</w:t>
          </w:r>
          <w:r>
            <w:fldChar w:fldCharType="end"/>
          </w:r>
          <w:r>
            <w:rPr>
              <w:rFonts w:hint="eastAsia"/>
              <w:lang w:val="en-US" w:eastAsia="zh-CN"/>
            </w:rPr>
            <w:t>0</w:t>
          </w:r>
        </w:p>
        <w:p>
          <w:pPr>
            <w:pStyle w:val="20"/>
            <w:tabs>
              <w:tab w:val="left" w:pos="630"/>
              <w:tab w:val="right" w:leader="dot" w:pos="9900"/>
            </w:tabs>
            <w:rPr>
              <w:rFonts w:hint="eastAsia" w:eastAsia="微软雅黑" w:asciiTheme="minorHAnsi" w:hAnsiTheme="minorHAnsi" w:cstheme="minorBidi"/>
              <w:kern w:val="2"/>
              <w:sz w:val="21"/>
              <w:lang w:val="en-US" w:eastAsia="zh-CN"/>
            </w:rPr>
          </w:pPr>
          <w:r>
            <w:fldChar w:fldCharType="begin"/>
          </w:r>
          <w:r>
            <w:instrText xml:space="preserve"> HYPERLINK \l "_Toc175304999" </w:instrText>
          </w:r>
          <w:r>
            <w:fldChar w:fldCharType="separate"/>
          </w:r>
          <w:r>
            <w:rPr>
              <w:rStyle w:val="26"/>
              <w:rFonts w:ascii="Wingdings" w:hAnsi="Wingdings" w:eastAsia="仿宋" w:cs="仿宋"/>
              <w:snapToGrid w:val="0"/>
              <w:spacing w:val="6"/>
            </w:rPr>
            <w:t></w:t>
          </w:r>
          <w:r>
            <w:rPr>
              <w:rFonts w:asciiTheme="minorHAnsi" w:hAnsiTheme="minorHAnsi" w:eastAsiaTheme="minorEastAsia" w:cstheme="minorBidi"/>
              <w:kern w:val="2"/>
              <w:sz w:val="21"/>
            </w:rPr>
            <w:tab/>
          </w:r>
          <w:r>
            <w:rPr>
              <w:rStyle w:val="26"/>
            </w:rPr>
            <w:t>4.2 国内政策</w:t>
          </w:r>
          <w:r>
            <w:tab/>
          </w:r>
          <w:r>
            <w:rPr>
              <w:rFonts w:hint="eastAsia"/>
              <w:lang w:val="en-US" w:eastAsia="zh-CN"/>
            </w:rPr>
            <w:t>1</w:t>
          </w:r>
          <w:r>
            <w:fldChar w:fldCharType="end"/>
          </w:r>
          <w:r>
            <w:rPr>
              <w:rFonts w:hint="eastAsia"/>
              <w:lang w:val="en-US" w:eastAsia="zh-CN"/>
            </w:rPr>
            <w:t>1</w:t>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"_Toc175305000" </w:instrText>
          </w:r>
          <w:r>
            <w:fldChar w:fldCharType="separate"/>
          </w:r>
          <w:r>
            <w:rPr>
              <w:rStyle w:val="26"/>
              <w:rFonts w:ascii="Wingdings" w:hAnsi="Wingdings" w:eastAsia="仿宋" w:cs="仿宋"/>
              <w:snapToGrid w:val="0"/>
              <w:spacing w:val="6"/>
            </w:rPr>
            <w:t></w:t>
          </w:r>
          <w:r>
            <w:rPr>
              <w:rFonts w:asciiTheme="minorHAnsi" w:hAnsiTheme="minorHAnsi" w:eastAsiaTheme="minorEastAsia" w:cstheme="minorBidi"/>
              <w:kern w:val="2"/>
              <w:sz w:val="21"/>
            </w:rPr>
            <w:tab/>
          </w:r>
          <w:r>
            <w:rPr>
              <w:rStyle w:val="26"/>
            </w:rPr>
            <w:t>4.3 国际标准</w:t>
          </w:r>
          <w:r>
            <w:tab/>
          </w:r>
          <w:r>
            <w:fldChar w:fldCharType="begin"/>
          </w:r>
          <w:r>
            <w:instrText xml:space="preserve"> PAGEREF _Toc175305000 \h </w:instrText>
          </w:r>
          <w:r>
            <w:fldChar w:fldCharType="separate"/>
          </w:r>
          <w:r>
            <w:t>1</w:t>
          </w:r>
          <w:r>
            <w:rPr>
              <w:rFonts w:hint="eastAsia"/>
              <w:lang w:val="en-US" w:eastAsia="zh-CN"/>
            </w:rPr>
            <w:t>2</w:t>
          </w:r>
          <w:r>
            <w:fldChar w:fldCharType="end"/>
          </w:r>
          <w:r>
            <w:fldChar w:fldCharType="end"/>
          </w:r>
        </w:p>
        <w:p>
          <w:pPr>
            <w:pStyle w:val="18"/>
            <w:tabs>
              <w:tab w:val="left" w:pos="1260"/>
              <w:tab w:val="right" w:leader="dot" w:pos="9900"/>
            </w:tabs>
            <w:rPr>
              <w:rFonts w:asciiTheme="minorHAnsi" w:hAnsiTheme="minorHAnsi" w:eastAsiaTheme="minorEastAsia" w:cstheme="minorBidi"/>
              <w:b w:val="0"/>
              <w:kern w:val="2"/>
              <w:sz w:val="21"/>
            </w:rPr>
          </w:pPr>
          <w:r>
            <w:fldChar w:fldCharType="begin"/>
          </w:r>
          <w:r>
            <w:instrText xml:space="preserve"> HYPERLINK \l "_Toc175305001" </w:instrText>
          </w:r>
          <w:r>
            <w:fldChar w:fldCharType="separate"/>
          </w:r>
          <w:r>
            <w:rPr>
              <w:rStyle w:val="26"/>
              <w:rFonts w:hAnsi="仿宋" w:cs="仿宋"/>
              <w:snapToGrid w:val="0"/>
              <w:spacing w:val="6"/>
            </w:rPr>
            <w:t>第五章</w:t>
          </w:r>
          <w:r>
            <w:rPr>
              <w:rFonts w:asciiTheme="minorHAnsi" w:hAnsiTheme="minorHAnsi" w:eastAsiaTheme="minorEastAsia" w:cstheme="minorBidi"/>
              <w:b w:val="0"/>
              <w:kern w:val="2"/>
              <w:sz w:val="21"/>
            </w:rPr>
            <w:tab/>
          </w:r>
          <w:r>
            <w:rPr>
              <w:rStyle w:val="26"/>
            </w:rPr>
            <w:t>环境管理</w:t>
          </w:r>
          <w:r>
            <w:tab/>
          </w:r>
          <w:r>
            <w:fldChar w:fldCharType="begin"/>
          </w:r>
          <w:r>
            <w:instrText xml:space="preserve"> PAGEREF _Toc175305001 \h </w:instrText>
          </w:r>
          <w:r>
            <w:fldChar w:fldCharType="separate"/>
          </w:r>
          <w:r>
            <w:t>1</w:t>
          </w:r>
          <w:r>
            <w:rPr>
              <w:rFonts w:hint="eastAsia"/>
              <w:lang w:val="en-US" w:eastAsia="zh-CN"/>
            </w:rPr>
            <w:t>3</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"_Toc175305002"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5.1 环境风险、机遇及应对措施</w:t>
          </w:r>
          <w:r>
            <w:tab/>
          </w:r>
          <w:r>
            <w:fldChar w:fldCharType="begin"/>
          </w:r>
          <w:r>
            <w:instrText xml:space="preserve"> PAGEREF _Toc175305002 \h </w:instrText>
          </w:r>
          <w:r>
            <w:fldChar w:fldCharType="separate"/>
          </w:r>
          <w:r>
            <w:t>1</w:t>
          </w:r>
          <w:r>
            <w:rPr>
              <w:rFonts w:hint="eastAsia"/>
              <w:lang w:val="en-US" w:eastAsia="zh-CN"/>
            </w:rPr>
            <w:t>3</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"_Toc175305003"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5.2 利益相关方环境议题</w:t>
          </w:r>
          <w:r>
            <w:tab/>
          </w:r>
          <w:r>
            <w:fldChar w:fldCharType="begin"/>
          </w:r>
          <w:r>
            <w:instrText xml:space="preserve"> PAGEREF _Toc175305003 \h </w:instrText>
          </w:r>
          <w:r>
            <w:fldChar w:fldCharType="separate"/>
          </w:r>
          <w:r>
            <w:t>1</w:t>
          </w:r>
          <w:r>
            <w:rPr>
              <w:rFonts w:hint="eastAsia"/>
              <w:lang w:val="en-US" w:eastAsia="zh-CN"/>
            </w:rPr>
            <w:t>4</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"_Toc175305004" </w:instrText>
          </w:r>
          <w:r>
            <w:fldChar w:fldCharType="separate"/>
          </w:r>
          <w:r>
            <w:rPr>
              <w:rStyle w:val="26"/>
              <w:rFonts w:ascii="Wingdings" w:hAnsi="Wingdings" w:eastAsia="仿宋" w:cs="仿宋"/>
              <w:snapToGrid w:val="0"/>
              <w:spacing w:val="6"/>
            </w:rPr>
            <w:t></w:t>
          </w:r>
          <w:r>
            <w:rPr>
              <w:rFonts w:asciiTheme="minorHAnsi" w:hAnsiTheme="minorHAnsi" w:eastAsiaTheme="minorEastAsia" w:cstheme="minorBidi"/>
              <w:kern w:val="2"/>
              <w:sz w:val="21"/>
            </w:rPr>
            <w:tab/>
          </w:r>
          <w:r>
            <w:rPr>
              <w:rStyle w:val="26"/>
            </w:rPr>
            <w:t>5.3 情景分析与压力测试</w:t>
          </w:r>
          <w:r>
            <w:tab/>
          </w:r>
          <w:r>
            <w:fldChar w:fldCharType="begin"/>
          </w:r>
          <w:r>
            <w:instrText xml:space="preserve"> PAGEREF _Toc175305004 \h </w:instrText>
          </w:r>
          <w:r>
            <w:fldChar w:fldCharType="separate"/>
          </w:r>
          <w:r>
            <w:t>1</w:t>
          </w:r>
          <w:r>
            <w:rPr>
              <w:rFonts w:hint="eastAsia"/>
              <w:lang w:val="en-US" w:eastAsia="zh-CN"/>
            </w:rPr>
            <w:t>5</w:t>
          </w:r>
          <w:r>
            <w:fldChar w:fldCharType="end"/>
          </w:r>
          <w:r>
            <w:fldChar w:fldCharType="end"/>
          </w:r>
        </w:p>
        <w:p>
          <w:pPr>
            <w:pStyle w:val="18"/>
            <w:tabs>
              <w:tab w:val="left" w:pos="1260"/>
              <w:tab w:val="right" w:leader="dot" w:pos="9900"/>
            </w:tabs>
            <w:rPr>
              <w:rFonts w:asciiTheme="minorHAnsi" w:hAnsiTheme="minorHAnsi" w:eastAsiaTheme="minorEastAsia" w:cstheme="minorBidi"/>
              <w:b w:val="0"/>
              <w:kern w:val="2"/>
              <w:sz w:val="21"/>
            </w:rPr>
          </w:pPr>
          <w:r>
            <w:fldChar w:fldCharType="begin"/>
          </w:r>
          <w:r>
            <w:instrText xml:space="preserve"> HYPERLINK \l "_Toc175305005" </w:instrText>
          </w:r>
          <w:r>
            <w:fldChar w:fldCharType="separate"/>
          </w:r>
          <w:r>
            <w:rPr>
              <w:rStyle w:val="26"/>
            </w:rPr>
            <w:t>第六章</w:t>
          </w:r>
          <w:r>
            <w:rPr>
              <w:rFonts w:asciiTheme="minorHAnsi" w:hAnsiTheme="minorHAnsi" w:eastAsiaTheme="minorEastAsia" w:cstheme="minorBidi"/>
              <w:b w:val="0"/>
              <w:kern w:val="2"/>
              <w:sz w:val="21"/>
            </w:rPr>
            <w:tab/>
          </w:r>
          <w:r>
            <w:rPr>
              <w:rStyle w:val="26"/>
            </w:rPr>
            <w:t>自身经营的环境影响</w:t>
          </w:r>
          <w:r>
            <w:tab/>
          </w:r>
          <w:r>
            <w:fldChar w:fldCharType="begin"/>
          </w:r>
          <w:r>
            <w:instrText xml:space="preserve"> PAGEREF _Toc175305005 \h </w:instrText>
          </w:r>
          <w:r>
            <w:fldChar w:fldCharType="separate"/>
          </w:r>
          <w:r>
            <w:t>1</w:t>
          </w:r>
          <w:r>
            <w:rPr>
              <w:rFonts w:hint="eastAsia"/>
              <w:lang w:val="en-US" w:eastAsia="zh-CN"/>
            </w:rPr>
            <w:t>6</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"_Toc175305006"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6.1 自身经营的能源和资源消耗</w:t>
          </w:r>
          <w:r>
            <w:tab/>
          </w:r>
          <w:r>
            <w:fldChar w:fldCharType="begin"/>
          </w:r>
          <w:r>
            <w:instrText xml:space="preserve"> PAGEREF _Toc175305006 \h </w:instrText>
          </w:r>
          <w:r>
            <w:fldChar w:fldCharType="separate"/>
          </w:r>
          <w:r>
            <w:t>1</w:t>
          </w:r>
          <w:r>
            <w:rPr>
              <w:rFonts w:hint="eastAsia"/>
              <w:lang w:val="en-US" w:eastAsia="zh-CN"/>
            </w:rPr>
            <w:t>6</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"_Toc175305007" </w:instrText>
          </w:r>
          <w:r>
            <w:fldChar w:fldCharType="separate"/>
          </w:r>
          <w:r>
            <w:rPr>
              <w:rStyle w:val="26"/>
              <w:rFonts w:ascii="Wingdings" w:hAnsi="Wingdings" w:eastAsia="仿宋" w:cs="仿宋"/>
              <w:snapToGrid w:val="0"/>
              <w:spacing w:val="6"/>
            </w:rPr>
            <w:t></w:t>
          </w:r>
          <w:r>
            <w:rPr>
              <w:rFonts w:asciiTheme="minorHAnsi" w:hAnsiTheme="minorHAnsi" w:eastAsiaTheme="minorEastAsia" w:cstheme="minorBidi"/>
              <w:kern w:val="2"/>
              <w:sz w:val="21"/>
            </w:rPr>
            <w:tab/>
          </w:r>
          <w:r>
            <w:rPr>
              <w:rStyle w:val="26"/>
            </w:rPr>
            <w:t>6.2 自身经营的碳排放</w:t>
          </w:r>
          <w:r>
            <w:tab/>
          </w:r>
          <w:r>
            <w:fldChar w:fldCharType="begin"/>
          </w:r>
          <w:r>
            <w:instrText xml:space="preserve"> PAGEREF _Toc175305007 \h </w:instrText>
          </w:r>
          <w:r>
            <w:fldChar w:fldCharType="separate"/>
          </w:r>
          <w:r>
            <w:t>1</w:t>
          </w:r>
          <w:r>
            <w:rPr>
              <w:rFonts w:hint="eastAsia"/>
              <w:lang w:val="en-US" w:eastAsia="zh-CN"/>
            </w:rPr>
            <w:t>7</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"_Toc175305008" </w:instrText>
          </w:r>
          <w:r>
            <w:fldChar w:fldCharType="separate"/>
          </w:r>
          <w:r>
            <w:rPr>
              <w:rStyle w:val="26"/>
              <w:rFonts w:ascii="Wingdings" w:hAnsi="Wingdings" w:eastAsia="仿宋" w:cs="仿宋"/>
              <w:snapToGrid w:val="0"/>
              <w:spacing w:val="6"/>
            </w:rPr>
            <w:t></w:t>
          </w:r>
          <w:r>
            <w:rPr>
              <w:rFonts w:asciiTheme="minorHAnsi" w:hAnsiTheme="minorHAnsi" w:eastAsiaTheme="minorEastAsia" w:cstheme="minorBidi"/>
              <w:kern w:val="2"/>
              <w:sz w:val="21"/>
            </w:rPr>
            <w:tab/>
          </w:r>
          <w:r>
            <w:rPr>
              <w:rStyle w:val="26"/>
            </w:rPr>
            <w:t>6.3 自身经营的碳减排</w:t>
          </w:r>
          <w:r>
            <w:tab/>
          </w:r>
          <w:r>
            <w:rPr>
              <w:rFonts w:hint="eastAsia"/>
              <w:lang w:val="en-US" w:eastAsia="zh-CN"/>
            </w:rPr>
            <w:t>2</w:t>
          </w:r>
          <w:r>
            <w:fldChar w:fldCharType="begin"/>
          </w:r>
          <w:r>
            <w:instrText xml:space="preserve"> PAGEREF _Toc175305008 \h </w:instrText>
          </w:r>
          <w:r>
            <w:fldChar w:fldCharType="separate"/>
          </w:r>
          <w:r>
            <w:t>1</w:t>
          </w:r>
          <w:r>
            <w:fldChar w:fldCharType="end"/>
          </w:r>
          <w:r>
            <w:fldChar w:fldCharType="end"/>
          </w:r>
        </w:p>
        <w:p>
          <w:pPr>
            <w:pStyle w:val="18"/>
            <w:tabs>
              <w:tab w:val="left" w:pos="1260"/>
              <w:tab w:val="right" w:leader="dot" w:pos="9900"/>
            </w:tabs>
            <w:rPr>
              <w:rFonts w:asciiTheme="minorHAnsi" w:hAnsiTheme="minorHAnsi" w:eastAsiaTheme="minorEastAsia" w:cstheme="minorBidi"/>
              <w:b w:val="0"/>
              <w:kern w:val="2"/>
              <w:sz w:val="21"/>
            </w:rPr>
          </w:pPr>
          <w:r>
            <w:fldChar w:fldCharType="begin"/>
          </w:r>
          <w:r>
            <w:instrText xml:space="preserve"> HYPERLINK \l "_Toc175305009" </w:instrText>
          </w:r>
          <w:r>
            <w:fldChar w:fldCharType="separate"/>
          </w:r>
          <w:r>
            <w:rPr>
              <w:rStyle w:val="26"/>
              <w:rFonts w:hAnsi="宋体"/>
            </w:rPr>
            <w:t>第七章</w:t>
          </w:r>
          <w:r>
            <w:rPr>
              <w:rFonts w:asciiTheme="minorHAnsi" w:hAnsiTheme="minorHAnsi" w:eastAsiaTheme="minorEastAsia" w:cstheme="minorBidi"/>
              <w:b w:val="0"/>
              <w:kern w:val="2"/>
              <w:sz w:val="21"/>
            </w:rPr>
            <w:tab/>
          </w:r>
          <w:r>
            <w:rPr>
              <w:rStyle w:val="26"/>
            </w:rPr>
            <w:t>投融资活动的碳排放</w:t>
          </w:r>
          <w:r>
            <w:tab/>
          </w:r>
          <w:r>
            <w:fldChar w:fldCharType="begin"/>
          </w:r>
          <w:r>
            <w:instrText xml:space="preserve"> PAGEREF _Toc175305009 \h </w:instrText>
          </w:r>
          <w:r>
            <w:fldChar w:fldCharType="separate"/>
          </w:r>
          <w:r>
            <w:t>2</w:t>
          </w:r>
          <w:r>
            <w:rPr>
              <w:rFonts w:hint="eastAsia"/>
              <w:lang w:val="en-US" w:eastAsia="zh-CN"/>
            </w:rPr>
            <w:t>2</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"_Toc175305010"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7.1 信贷资产</w:t>
          </w:r>
          <w:r>
            <w:tab/>
          </w:r>
          <w:r>
            <w:fldChar w:fldCharType="begin"/>
          </w:r>
          <w:r>
            <w:instrText xml:space="preserve"> PAGEREF _Toc175305010 \h </w:instrText>
          </w:r>
          <w:r>
            <w:fldChar w:fldCharType="separate"/>
          </w:r>
          <w:r>
            <w:t>2</w:t>
          </w:r>
          <w:r>
            <w:rPr>
              <w:rFonts w:hint="eastAsia"/>
              <w:lang w:val="en-US" w:eastAsia="zh-CN"/>
            </w:rPr>
            <w:t>2</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"_Toc175305011"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7.2 债券资产</w:t>
          </w:r>
          <w:r>
            <w:tab/>
          </w:r>
          <w:r>
            <w:fldChar w:fldCharType="begin"/>
          </w:r>
          <w:r>
            <w:instrText xml:space="preserve"> PAGEREF _Toc175305011 \h </w:instrText>
          </w:r>
          <w:r>
            <w:fldChar w:fldCharType="separate"/>
          </w:r>
          <w:r>
            <w:t>2</w:t>
          </w:r>
          <w:r>
            <w:rPr>
              <w:rFonts w:hint="eastAsia"/>
              <w:lang w:val="en-US" w:eastAsia="zh-CN"/>
            </w:rPr>
            <w:t>2</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"_Toc175305012"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7.3 投融资（总计）</w:t>
          </w:r>
          <w:r>
            <w:tab/>
          </w:r>
          <w:r>
            <w:fldChar w:fldCharType="begin"/>
          </w:r>
          <w:r>
            <w:instrText xml:space="preserve"> PAGEREF _Toc175305012 \h </w:instrText>
          </w:r>
          <w:r>
            <w:fldChar w:fldCharType="separate"/>
          </w:r>
          <w:r>
            <w:t>2</w:t>
          </w:r>
          <w:r>
            <w:rPr>
              <w:rFonts w:hint="eastAsia"/>
              <w:lang w:val="en-US" w:eastAsia="zh-CN"/>
            </w:rPr>
            <w:t>3</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"_Toc175305013"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7.4 高碳行业</w:t>
          </w:r>
          <w:r>
            <w:tab/>
          </w:r>
          <w:r>
            <w:fldChar w:fldCharType="begin"/>
          </w:r>
          <w:r>
            <w:instrText xml:space="preserve"> PAGEREF _Toc175305013 \h </w:instrText>
          </w:r>
          <w:r>
            <w:fldChar w:fldCharType="separate"/>
          </w:r>
          <w:r>
            <w:t>2</w:t>
          </w:r>
          <w:r>
            <w:rPr>
              <w:rFonts w:hint="eastAsia"/>
              <w:lang w:val="en-US" w:eastAsia="zh-CN"/>
            </w:rPr>
            <w:t>3</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"_Toc175305014"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7.5 行业门类</w:t>
          </w:r>
          <w:r>
            <w:tab/>
          </w:r>
          <w:r>
            <w:fldChar w:fldCharType="begin"/>
          </w:r>
          <w:r>
            <w:instrText xml:space="preserve"> PAGEREF _Toc175305014 \h </w:instrText>
          </w:r>
          <w:r>
            <w:fldChar w:fldCharType="separate"/>
          </w:r>
          <w:r>
            <w:t>2</w:t>
          </w:r>
          <w:r>
            <w:rPr>
              <w:rFonts w:hint="eastAsia"/>
              <w:lang w:val="en-US" w:eastAsia="zh-CN"/>
            </w:rPr>
            <w:t>3</w:t>
          </w:r>
          <w:r>
            <w:fldChar w:fldCharType="end"/>
          </w:r>
          <w:r>
            <w:fldChar w:fldCharType="end"/>
          </w:r>
        </w:p>
        <w:p>
          <w:pPr>
            <w:pStyle w:val="18"/>
            <w:tabs>
              <w:tab w:val="left" w:pos="1260"/>
              <w:tab w:val="right" w:leader="dot" w:pos="9900"/>
            </w:tabs>
            <w:rPr>
              <w:rFonts w:asciiTheme="minorHAnsi" w:hAnsiTheme="minorHAnsi" w:eastAsiaTheme="minorEastAsia" w:cstheme="minorBidi"/>
              <w:b w:val="0"/>
              <w:kern w:val="2"/>
              <w:sz w:val="21"/>
            </w:rPr>
          </w:pPr>
          <w:r>
            <w:fldChar w:fldCharType="begin"/>
          </w:r>
          <w:r>
            <w:instrText xml:space="preserve"> HYPERLINK \l "_Toc175305015" </w:instrText>
          </w:r>
          <w:r>
            <w:fldChar w:fldCharType="separate"/>
          </w:r>
          <w:r>
            <w:rPr>
              <w:rStyle w:val="26"/>
              <w:rFonts w:hAnsi="仿宋" w:cs="仿宋"/>
              <w:snapToGrid w:val="0"/>
              <w:spacing w:val="6"/>
            </w:rPr>
            <w:t>第八章</w:t>
          </w:r>
          <w:r>
            <w:rPr>
              <w:rFonts w:asciiTheme="minorHAnsi" w:hAnsiTheme="minorHAnsi" w:eastAsiaTheme="minorEastAsia" w:cstheme="minorBidi"/>
              <w:b w:val="0"/>
              <w:kern w:val="2"/>
              <w:sz w:val="21"/>
            </w:rPr>
            <w:tab/>
          </w:r>
          <w:r>
            <w:rPr>
              <w:rStyle w:val="26"/>
            </w:rPr>
            <w:t>绿色资产的节能减排</w:t>
          </w:r>
          <w:r>
            <w:tab/>
          </w:r>
          <w:r>
            <w:fldChar w:fldCharType="begin"/>
          </w:r>
          <w:r>
            <w:instrText xml:space="preserve"> PAGEREF _Toc175305015 \h </w:instrText>
          </w:r>
          <w:r>
            <w:fldChar w:fldCharType="separate"/>
          </w:r>
          <w:r>
            <w:t>2</w:t>
          </w:r>
          <w:r>
            <w:rPr>
              <w:rFonts w:hint="eastAsia"/>
              <w:lang w:val="en-US" w:eastAsia="zh-CN"/>
            </w:rPr>
            <w:t>5</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"_Toc175305016"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8.1 绿色信贷（项目业务）</w:t>
          </w:r>
          <w:r>
            <w:tab/>
          </w:r>
          <w:r>
            <w:fldChar w:fldCharType="begin"/>
          </w:r>
          <w:r>
            <w:instrText xml:space="preserve"> PAGEREF _Toc175305016 \h </w:instrText>
          </w:r>
          <w:r>
            <w:fldChar w:fldCharType="separate"/>
          </w:r>
          <w:r>
            <w:t>2</w:t>
          </w:r>
          <w:r>
            <w:rPr>
              <w:rFonts w:hint="eastAsia"/>
              <w:lang w:val="en-US" w:eastAsia="zh-CN"/>
            </w:rPr>
            <w:t>5</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"_Toc175305017"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8.2 绿色产业</w:t>
          </w:r>
          <w:r>
            <w:tab/>
          </w:r>
          <w:r>
            <w:fldChar w:fldCharType="begin"/>
          </w:r>
          <w:r>
            <w:instrText xml:space="preserve"> PAGEREF _Toc175305017 \h </w:instrText>
          </w:r>
          <w:r>
            <w:fldChar w:fldCharType="separate"/>
          </w:r>
          <w:r>
            <w:t>2</w:t>
          </w:r>
          <w:r>
            <w:rPr>
              <w:rFonts w:hint="eastAsia"/>
              <w:lang w:val="en-US" w:eastAsia="zh-CN"/>
            </w:rPr>
            <w:t>5</w:t>
          </w:r>
          <w:r>
            <w:fldChar w:fldCharType="end"/>
          </w:r>
          <w:r>
            <w:fldChar w:fldCharType="end"/>
          </w:r>
        </w:p>
        <w:p>
          <w:pPr>
            <w:pStyle w:val="18"/>
            <w:tabs>
              <w:tab w:val="left" w:pos="1260"/>
              <w:tab w:val="right" w:leader="dot" w:pos="9900"/>
            </w:tabs>
            <w:rPr>
              <w:rFonts w:asciiTheme="minorHAnsi" w:hAnsiTheme="minorHAnsi" w:eastAsiaTheme="minorEastAsia" w:cstheme="minorBidi"/>
              <w:b w:val="0"/>
              <w:kern w:val="2"/>
              <w:sz w:val="21"/>
            </w:rPr>
          </w:pPr>
          <w:r>
            <w:fldChar w:fldCharType="begin"/>
          </w:r>
          <w:r>
            <w:instrText xml:space="preserve"> HYPERLINK \l "_Toc175305020" </w:instrText>
          </w:r>
          <w:r>
            <w:fldChar w:fldCharType="separate"/>
          </w:r>
          <w:r>
            <w:rPr>
              <w:rStyle w:val="26"/>
            </w:rPr>
            <w:t>第九章</w:t>
          </w:r>
          <w:r>
            <w:rPr>
              <w:rFonts w:asciiTheme="minorHAnsi" w:hAnsiTheme="minorHAnsi" w:eastAsiaTheme="minorEastAsia" w:cstheme="minorBidi"/>
              <w:b w:val="0"/>
              <w:kern w:val="2"/>
              <w:sz w:val="21"/>
            </w:rPr>
            <w:tab/>
          </w:r>
          <w:r>
            <w:rPr>
              <w:rStyle w:val="26"/>
            </w:rPr>
            <w:t>创新及研究</w:t>
          </w:r>
          <w:r>
            <w:tab/>
          </w:r>
          <w:r>
            <w:fldChar w:fldCharType="begin"/>
          </w:r>
          <w:r>
            <w:instrText xml:space="preserve"> PAGEREF _Toc175305020 \h </w:instrText>
          </w:r>
          <w:r>
            <w:fldChar w:fldCharType="separate"/>
          </w:r>
          <w:r>
            <w:t>2</w:t>
          </w:r>
          <w:r>
            <w:rPr>
              <w:rFonts w:hint="eastAsia"/>
              <w:lang w:val="en-US" w:eastAsia="zh-CN"/>
            </w:rPr>
            <w:t>6</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"_Toc175305021"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9.1 绿色金融创新实践案例</w:t>
          </w:r>
          <w:r>
            <w:tab/>
          </w:r>
          <w:r>
            <w:fldChar w:fldCharType="begin"/>
          </w:r>
          <w:r>
            <w:instrText xml:space="preserve"> PAGEREF _Toc175305021 \h </w:instrText>
          </w:r>
          <w:r>
            <w:fldChar w:fldCharType="separate"/>
          </w:r>
          <w:r>
            <w:t>2</w:t>
          </w:r>
          <w:r>
            <w:rPr>
              <w:rFonts w:hint="eastAsia"/>
              <w:lang w:val="en-US" w:eastAsia="zh-CN"/>
            </w:rPr>
            <w:t>6</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"_Toc175305022"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9.2 绿色金融研究</w:t>
          </w:r>
          <w:r>
            <w:tab/>
          </w:r>
          <w:r>
            <w:fldChar w:fldCharType="begin"/>
          </w:r>
          <w:r>
            <w:instrText xml:space="preserve"> PAGEREF _Toc175305022 \h </w:instrText>
          </w:r>
          <w:r>
            <w:fldChar w:fldCharType="separate"/>
          </w:r>
          <w:r>
            <w:t>2</w:t>
          </w:r>
          <w:r>
            <w:rPr>
              <w:rFonts w:hint="eastAsia"/>
              <w:lang w:val="en-US" w:eastAsia="zh-CN"/>
            </w:rPr>
            <w:t>7</w:t>
          </w:r>
          <w:r>
            <w:fldChar w:fldCharType="end"/>
          </w:r>
          <w:r>
            <w:fldChar w:fldCharType="end"/>
          </w:r>
        </w:p>
        <w:p>
          <w:pPr>
            <w:pStyle w:val="18"/>
            <w:tabs>
              <w:tab w:val="left" w:pos="1260"/>
              <w:tab w:val="right" w:leader="dot" w:pos="9900"/>
            </w:tabs>
            <w:rPr>
              <w:rFonts w:asciiTheme="minorHAnsi" w:hAnsiTheme="minorHAnsi" w:eastAsiaTheme="minorEastAsia" w:cstheme="minorBidi"/>
              <w:b w:val="0"/>
              <w:kern w:val="2"/>
              <w:sz w:val="21"/>
            </w:rPr>
          </w:pPr>
          <w:r>
            <w:fldChar w:fldCharType="begin"/>
          </w:r>
          <w:r>
            <w:instrText xml:space="preserve"> HYPERLINK \l "_Toc175305023" </w:instrText>
          </w:r>
          <w:r>
            <w:fldChar w:fldCharType="separate"/>
          </w:r>
          <w:r>
            <w:rPr>
              <w:rStyle w:val="26"/>
            </w:rPr>
            <w:t>第十章</w:t>
          </w:r>
          <w:r>
            <w:rPr>
              <w:rFonts w:asciiTheme="minorHAnsi" w:hAnsiTheme="minorHAnsi" w:eastAsiaTheme="minorEastAsia" w:cstheme="minorBidi"/>
              <w:b w:val="0"/>
              <w:kern w:val="2"/>
              <w:sz w:val="21"/>
            </w:rPr>
            <w:tab/>
          </w:r>
          <w:r>
            <w:rPr>
              <w:rStyle w:val="26"/>
            </w:rPr>
            <w:t>数据质量管理</w:t>
          </w:r>
          <w:r>
            <w:tab/>
          </w:r>
          <w:r>
            <w:fldChar w:fldCharType="begin"/>
          </w:r>
          <w:r>
            <w:instrText xml:space="preserve"> PAGEREF _Toc175305023 \h </w:instrText>
          </w:r>
          <w:r>
            <w:fldChar w:fldCharType="separate"/>
          </w:r>
          <w:r>
            <w:t>2</w:t>
          </w:r>
          <w:r>
            <w:rPr>
              <w:rFonts w:hint="eastAsia"/>
              <w:lang w:val="en-US" w:eastAsia="zh-CN"/>
            </w:rPr>
            <w:t>8</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"_Toc175305024"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10.1 数据梳理、校验及保护</w:t>
          </w:r>
          <w:r>
            <w:tab/>
          </w:r>
          <w:r>
            <w:fldChar w:fldCharType="begin"/>
          </w:r>
          <w:r>
            <w:instrText xml:space="preserve"> PAGEREF _Toc175305024 \h </w:instrText>
          </w:r>
          <w:r>
            <w:fldChar w:fldCharType="separate"/>
          </w:r>
          <w:r>
            <w:t>2</w:t>
          </w:r>
          <w:r>
            <w:rPr>
              <w:rFonts w:hint="eastAsia"/>
              <w:lang w:val="en-US" w:eastAsia="zh-CN"/>
            </w:rPr>
            <w:t>8</w:t>
          </w:r>
          <w:r>
            <w:fldChar w:fldCharType="end"/>
          </w:r>
          <w:r>
            <w:fldChar w:fldCharType="end"/>
          </w:r>
        </w:p>
        <w:p>
          <w:pPr>
            <w:pStyle w:val="20"/>
            <w:tabs>
              <w:tab w:val="left" w:pos="630"/>
              <w:tab w:val="right" w:leader="dot" w:pos="9900"/>
            </w:tabs>
            <w:rPr>
              <w:rFonts w:asciiTheme="minorHAnsi" w:hAnsiTheme="minorHAnsi" w:eastAsiaTheme="minorEastAsia" w:cstheme="minorBidi"/>
              <w:kern w:val="2"/>
              <w:sz w:val="21"/>
            </w:rPr>
          </w:pPr>
          <w:r>
            <w:fldChar w:fldCharType="begin"/>
          </w:r>
          <w:r>
            <w:instrText xml:space="preserve"> HYPERLINK \l "_Toc175305025" </w:instrText>
          </w:r>
          <w:r>
            <w:fldChar w:fldCharType="separate"/>
          </w:r>
          <w:r>
            <w:rPr>
              <w:rStyle w:val="26"/>
              <w:rFonts w:ascii="Wingdings" w:hAnsi="Wingdings"/>
            </w:rPr>
            <w:t></w:t>
          </w:r>
          <w:r>
            <w:rPr>
              <w:rFonts w:asciiTheme="minorHAnsi" w:hAnsiTheme="minorHAnsi" w:eastAsiaTheme="minorEastAsia" w:cstheme="minorBidi"/>
              <w:kern w:val="2"/>
              <w:sz w:val="21"/>
            </w:rPr>
            <w:tab/>
          </w:r>
          <w:r>
            <w:rPr>
              <w:rStyle w:val="26"/>
            </w:rPr>
            <w:t>10.2 碳排放数据质量管理</w:t>
          </w:r>
          <w:r>
            <w:tab/>
          </w:r>
          <w:r>
            <w:fldChar w:fldCharType="begin"/>
          </w:r>
          <w:r>
            <w:instrText xml:space="preserve"> PAGEREF _Toc175305025 \h </w:instrText>
          </w:r>
          <w:r>
            <w:fldChar w:fldCharType="separate"/>
          </w:r>
          <w:r>
            <w:t>2</w:t>
          </w:r>
          <w:r>
            <w:rPr>
              <w:rFonts w:hint="eastAsia"/>
              <w:lang w:val="en-US" w:eastAsia="zh-CN"/>
            </w:rPr>
            <w:t>9</w:t>
          </w:r>
          <w:r>
            <w:fldChar w:fldCharType="end"/>
          </w:r>
          <w:r>
            <w:fldChar w:fldCharType="end"/>
          </w:r>
        </w:p>
        <w:p>
          <w:pPr>
            <w:spacing w:line="240" w:lineRule="auto"/>
            <w:ind w:firstLine="560"/>
          </w:pPr>
          <w:r>
            <w:rPr>
              <w:rFonts w:ascii="微软雅黑" w:hAnsi="微软雅黑" w:eastAsia="微软雅黑" w:cs="Times New Roman"/>
              <w:b/>
              <w:kern w:val="0"/>
              <w:sz w:val="28"/>
            </w:rPr>
            <w:fldChar w:fldCharType="end"/>
          </w:r>
        </w:p>
      </w:sdtContent>
    </w:sdt>
    <w:p>
      <w:pPr>
        <w:pStyle w:val="15"/>
        <w:ind w:left="446" w:firstLine="640"/>
      </w:pPr>
    </w:p>
    <w:p>
      <w:pPr>
        <w:pStyle w:val="48"/>
        <w:adjustRightInd w:val="0"/>
        <w:snapToGrid w:val="0"/>
        <w:spacing w:line="240" w:lineRule="auto"/>
        <w:ind w:firstLine="0" w:firstLineChars="0"/>
        <w:jc w:val="center"/>
        <w:rPr>
          <w:rFonts w:ascii="黑体" w:hAnsi="黑体" w:eastAsia="黑体" w:cs="黑体"/>
          <w:bCs/>
          <w:color w:val="000000" w:themeColor="text1"/>
          <w:sz w:val="32"/>
          <w:szCs w:val="32"/>
          <w14:textFill>
            <w14:solidFill>
              <w14:schemeClr w14:val="tx1"/>
            </w14:solidFill>
          </w14:textFill>
        </w:rPr>
      </w:pPr>
    </w:p>
    <w:p>
      <w:pPr>
        <w:bidi w:val="0"/>
      </w:pPr>
    </w:p>
    <w:p>
      <w:pPr>
        <w:bidi w:val="0"/>
      </w:pPr>
    </w:p>
    <w:p>
      <w:pPr>
        <w:bidi w:val="0"/>
      </w:pPr>
    </w:p>
    <w:p>
      <w:pPr>
        <w:bidi w:val="0"/>
      </w:pPr>
    </w:p>
    <w:p>
      <w:pPr>
        <w:bidi w:val="0"/>
      </w:pPr>
    </w:p>
    <w:p>
      <w:pPr>
        <w:tabs>
          <w:tab w:val="left" w:pos="4056"/>
        </w:tabs>
        <w:bidi w:val="0"/>
        <w:jc w:val="left"/>
        <w:rPr>
          <w:rFonts w:hint="eastAsia" w:eastAsia="方正仿宋_GBK"/>
          <w:lang w:eastAsia="zh-CN"/>
        </w:rPr>
        <w:sectPr>
          <w:headerReference r:id="rId5" w:type="first"/>
          <w:footerReference r:id="rId8" w:type="first"/>
          <w:headerReference r:id="rId3" w:type="default"/>
          <w:footerReference r:id="rId6" w:type="default"/>
          <w:headerReference r:id="rId4" w:type="even"/>
          <w:footerReference r:id="rId7" w:type="even"/>
          <w:pgSz w:w="11906" w:h="16838"/>
          <w:pgMar w:top="998" w:right="998" w:bottom="1451" w:left="998" w:header="0" w:footer="992" w:gutter="0"/>
          <w:pgNumType w:fmt="decimal"/>
          <w:cols w:space="425" w:num="1"/>
          <w:titlePg/>
          <w:docGrid w:type="lines" w:linePitch="435" w:charSpace="0"/>
        </w:sectPr>
      </w:pPr>
      <w:r>
        <w:rPr>
          <w:rFonts w:hint="eastAsia"/>
          <w:lang w:eastAsia="zh-CN"/>
        </w:rPr>
        <w:tab/>
      </w:r>
    </w:p>
    <w:p>
      <w:pPr>
        <w:pStyle w:val="2"/>
        <w:tabs>
          <w:tab w:val="clear" w:pos="420"/>
        </w:tabs>
        <w:ind w:left="0" w:leftChars="0" w:firstLine="0" w:firstLineChars="0"/>
        <w:rPr>
          <w:rFonts w:hint="eastAsia" w:hAnsi="Times New Roman" w:cs="宋体"/>
        </w:rPr>
      </w:pPr>
      <w:bookmarkStart w:id="0" w:name="_Toc175304984"/>
      <w:r>
        <w:rPr>
          <w:rFonts w:hint="eastAsia" w:hAnsi="Times New Roman" w:cs="宋体"/>
        </w:rPr>
        <w:t>披露主体</w:t>
      </w:r>
      <w:bookmarkEnd w:id="0"/>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1" w:name="_Toc175304985"/>
      <w:r>
        <w:rPr>
          <w:rFonts w:hint="eastAsia" w:ascii="黑体" w:hAnsi="黑体" w:eastAsia="黑体" w:cs="黑体"/>
          <w:b w:val="0"/>
          <w:bCs w:val="0"/>
          <w:color w:val="000000"/>
          <w:sz w:val="28"/>
          <w:szCs w:val="28"/>
          <w:highlight w:val="none"/>
          <w:lang w:val="en-US" w:eastAsia="zh-CN"/>
        </w:rPr>
        <w:t>1.1 编制说明</w:t>
      </w:r>
      <w:bookmarkEnd w:id="1"/>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1.1.1 关于报告</w:t>
      </w:r>
    </w:p>
    <w:p>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本报告是江苏扬州农村商业</w:t>
      </w:r>
      <w:r>
        <w:rPr>
          <w:rFonts w:ascii="仿宋" w:hAnsi="仿宋" w:eastAsia="仿宋" w:cs="仿宋"/>
          <w:color w:val="000000" w:themeColor="text1"/>
          <w:spacing w:val="6"/>
          <w:sz w:val="24"/>
          <w14:textFill>
            <w14:solidFill>
              <w14:schemeClr w14:val="tx1"/>
            </w14:solidFill>
          </w14:textFill>
        </w:rPr>
        <w:t>银行股份有限公司（报告中简称“</w:t>
      </w:r>
      <w:r>
        <w:rPr>
          <w:rFonts w:hint="eastAsia" w:ascii="仿宋" w:hAnsi="仿宋" w:eastAsia="仿宋" w:cs="仿宋"/>
          <w:color w:val="000000" w:themeColor="text1"/>
          <w:spacing w:val="6"/>
          <w:sz w:val="24"/>
          <w14:textFill>
            <w14:solidFill>
              <w14:schemeClr w14:val="tx1"/>
            </w14:solidFill>
          </w14:textFill>
        </w:rPr>
        <w:t>扬州农商</w:t>
      </w:r>
      <w:r>
        <w:rPr>
          <w:rFonts w:ascii="仿宋" w:hAnsi="仿宋" w:eastAsia="仿宋" w:cs="仿宋"/>
          <w:color w:val="000000" w:themeColor="text1"/>
          <w:spacing w:val="6"/>
          <w:sz w:val="24"/>
          <w14:textFill>
            <w14:solidFill>
              <w14:schemeClr w14:val="tx1"/>
            </w14:solidFill>
          </w14:textFill>
        </w:rPr>
        <w:t>银行”“本行”）单独发布的环境信息披露报告。本报告阐述了本行2023年度在环境信息披露方面的主要工作和成效，回应</w:t>
      </w:r>
      <w:r>
        <w:rPr>
          <w:rFonts w:hint="eastAsia" w:ascii="仿宋" w:hAnsi="仿宋" w:eastAsia="仿宋" w:cs="仿宋"/>
          <w:color w:val="000000" w:themeColor="text1"/>
          <w:spacing w:val="6"/>
          <w:sz w:val="24"/>
          <w14:textFill>
            <w14:solidFill>
              <w14:schemeClr w14:val="tx1"/>
            </w14:solidFill>
          </w14:textFill>
        </w:rPr>
        <w:t>监管机构和</w:t>
      </w:r>
      <w:r>
        <w:rPr>
          <w:rFonts w:ascii="仿宋" w:hAnsi="仿宋" w:eastAsia="仿宋" w:cs="仿宋"/>
          <w:color w:val="000000" w:themeColor="text1"/>
          <w:spacing w:val="6"/>
          <w:sz w:val="24"/>
          <w14:textFill>
            <w14:solidFill>
              <w14:schemeClr w14:val="tx1"/>
            </w14:solidFill>
          </w14:textFill>
        </w:rPr>
        <w:t>各利益相关方的期望与关注，全面展示</w:t>
      </w:r>
      <w:r>
        <w:rPr>
          <w:rFonts w:hint="eastAsia" w:ascii="仿宋" w:hAnsi="仿宋" w:eastAsia="仿宋" w:cs="仿宋"/>
          <w:color w:val="000000" w:themeColor="text1"/>
          <w:spacing w:val="6"/>
          <w:sz w:val="24"/>
          <w14:textFill>
            <w14:solidFill>
              <w14:schemeClr w14:val="tx1"/>
            </w14:solidFill>
          </w14:textFill>
        </w:rPr>
        <w:t>本行</w:t>
      </w:r>
      <w:r>
        <w:rPr>
          <w:rFonts w:ascii="仿宋" w:hAnsi="仿宋" w:eastAsia="仿宋" w:cs="仿宋"/>
          <w:color w:val="000000" w:themeColor="text1"/>
          <w:spacing w:val="6"/>
          <w:sz w:val="24"/>
          <w14:textFill>
            <w14:solidFill>
              <w14:schemeClr w14:val="tx1"/>
            </w14:solidFill>
          </w14:textFill>
        </w:rPr>
        <w:t>在环境信息披露方面的积极态度与行动。</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1.1.2 报告范围</w:t>
      </w:r>
    </w:p>
    <w:p>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本报告为年度报告。时间范围涵盖</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 xml:space="preserve"> </w:t>
      </w:r>
      <w:r>
        <w:rPr>
          <w:rFonts w:hint="eastAsia" w:ascii="仿宋" w:hAnsi="仿宋" w:eastAsia="仿宋" w:cs="仿宋"/>
          <w:snapToGrid w:val="0"/>
          <w:color w:val="000000" w:themeColor="text1"/>
          <w:spacing w:val="6"/>
          <w:kern w:val="0"/>
          <w:sz w:val="24"/>
          <w:szCs w:val="24"/>
          <w14:textFill>
            <w14:solidFill>
              <w14:schemeClr w14:val="tx1"/>
            </w14:solidFill>
          </w14:textFill>
        </w:rPr>
        <w:t>2023年01月01日至</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 xml:space="preserve"> </w:t>
      </w:r>
      <w:r>
        <w:rPr>
          <w:rFonts w:hint="eastAsia" w:ascii="仿宋" w:hAnsi="仿宋" w:eastAsia="仿宋" w:cs="仿宋"/>
          <w:snapToGrid w:val="0"/>
          <w:color w:val="000000" w:themeColor="text1"/>
          <w:spacing w:val="6"/>
          <w:kern w:val="0"/>
          <w:sz w:val="24"/>
          <w:szCs w:val="24"/>
          <w14:textFill>
            <w14:solidFill>
              <w14:schemeClr w14:val="tx1"/>
            </w14:solidFill>
          </w14:textFill>
        </w:rPr>
        <w:t>2023年12月31日，部分信息涉及以往年度。除另有注明外，本报告以江苏扬州农村商业</w:t>
      </w:r>
      <w:r>
        <w:rPr>
          <w:rFonts w:ascii="仿宋" w:hAnsi="仿宋" w:eastAsia="仿宋" w:cs="仿宋"/>
          <w:color w:val="000000" w:themeColor="text1"/>
          <w:spacing w:val="6"/>
          <w:sz w:val="24"/>
          <w14:textFill>
            <w14:solidFill>
              <w14:schemeClr w14:val="tx1"/>
            </w14:solidFill>
          </w14:textFill>
        </w:rPr>
        <w:t>银行股份有限公司为主体</w:t>
      </w:r>
      <w:r>
        <w:rPr>
          <w:rFonts w:hint="eastAsia" w:ascii="仿宋" w:hAnsi="仿宋" w:eastAsia="仿宋" w:cs="仿宋"/>
          <w:color w:val="000000" w:themeColor="text1"/>
          <w:spacing w:val="6"/>
          <w:sz w:val="24"/>
          <w14:textFill>
            <w14:solidFill>
              <w14:schemeClr w14:val="tx1"/>
            </w14:solidFill>
          </w14:textFill>
        </w:rPr>
        <w:t>，包含下辖分支机构数据</w:t>
      </w:r>
      <w:r>
        <w:rPr>
          <w:rFonts w:ascii="仿宋" w:hAnsi="仿宋" w:eastAsia="仿宋" w:cs="仿宋"/>
          <w:color w:val="000000" w:themeColor="text1"/>
          <w:spacing w:val="6"/>
          <w:sz w:val="24"/>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1.1.3 编写依据</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bCs/>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本报告根据《金融机构环境信息披露指南》（JR/T 0227-2021</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snapToGrid w:val="0"/>
          <w:color w:val="000000" w:themeColor="text1"/>
          <w:spacing w:val="6"/>
          <w:kern w:val="0"/>
          <w:sz w:val="24"/>
          <w:szCs w:val="24"/>
          <w14:textFill>
            <w14:solidFill>
              <w14:schemeClr w14:val="tx1"/>
            </w14:solidFill>
          </w14:textFill>
        </w:rPr>
        <w:t>、《金融机构碳核算技术指南（试行）》（银办发〔2021〕119号）和《江苏省银行业金融机构环境信息披露指引（试行）》（苏银发〔2024〕49号）的要求进行</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核算</w:t>
      </w:r>
      <w:r>
        <w:rPr>
          <w:rFonts w:hint="eastAsia" w:ascii="仿宋" w:hAnsi="仿宋" w:eastAsia="仿宋" w:cs="仿宋"/>
          <w:snapToGrid w:val="0"/>
          <w:color w:val="000000" w:themeColor="text1"/>
          <w:spacing w:val="6"/>
          <w:kern w:val="0"/>
          <w:sz w:val="24"/>
          <w:szCs w:val="24"/>
          <w14:textFill>
            <w14:solidFill>
              <w14:schemeClr w14:val="tx1"/>
            </w14:solidFill>
          </w14:textFill>
        </w:rPr>
        <w:t>编制</w:t>
      </w:r>
      <w:r>
        <w:rPr>
          <w:rFonts w:hint="eastAsia" w:ascii="仿宋" w:hAnsi="仿宋" w:cs="仿宋"/>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snapToGrid w:val="0"/>
          <w:color w:val="000000" w:themeColor="text1"/>
          <w:spacing w:val="6"/>
          <w:kern w:val="0"/>
          <w:sz w:val="24"/>
          <w:szCs w:val="24"/>
          <w14:textFill>
            <w14:solidFill>
              <w14:schemeClr w14:val="tx1"/>
            </w14:solidFill>
          </w14:textFill>
        </w:rPr>
        <w:t>并参考碳核算金融联盟（PCAF）《金融行业温室气体核算和披露全球性标准》和国际可持续发展准则理事会（ISSB）《国际财务报告可持续披露准则第1号——可持续相关财务信息披露一般要求》（IFRS S1）（2023）、《国际财务报告可持续披露准则第2号——气候相关披露》（IFRSS2）（2023）中的核算和披露原则</w:t>
      </w:r>
      <w:r>
        <w:rPr>
          <w:rFonts w:hint="eastAsia" w:ascii="仿宋" w:hAnsi="仿宋" w:eastAsia="仿宋" w:cs="仿宋"/>
          <w:bCs/>
          <w:snapToGrid w:val="0"/>
          <w:color w:val="000000" w:themeColor="text1"/>
          <w:spacing w:val="6"/>
          <w:kern w:val="0"/>
          <w:sz w:val="24"/>
          <w:szCs w:val="24"/>
          <w14:textFill>
            <w14:solidFill>
              <w14:schemeClr w14:val="tx1"/>
            </w14:solidFill>
          </w14:textFill>
        </w:rPr>
        <w:t>。</w:t>
      </w:r>
    </w:p>
    <w:p>
      <w:pPr>
        <w:pStyle w:val="12"/>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2" w:name="_Toc175304986"/>
      <w:r>
        <w:rPr>
          <w:rFonts w:hint="eastAsia" w:ascii="黑体" w:hAnsi="黑体" w:eastAsia="黑体" w:cs="黑体"/>
          <w:b w:val="0"/>
          <w:bCs w:val="0"/>
          <w:color w:val="000000"/>
          <w:sz w:val="28"/>
          <w:szCs w:val="28"/>
          <w:highlight w:val="none"/>
          <w:lang w:val="en-US" w:eastAsia="zh-CN"/>
        </w:rPr>
        <w:t>1.2 基本信息</w:t>
      </w:r>
      <w:bookmarkEnd w:id="2"/>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1.2.1 基本信息</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机构名称：江苏扬州农村商业银行股份有限公司</w:t>
      </w:r>
    </w:p>
    <w:p>
      <w:pPr>
        <w:widowControl/>
        <w:kinsoku w:val="0"/>
        <w:autoSpaceDE w:val="0"/>
        <w:autoSpaceDN w:val="0"/>
        <w:adjustRightInd w:val="0"/>
        <w:snapToGrid w:val="0"/>
        <w:spacing w:before="217" w:beforeLines="50" w:line="240" w:lineRule="auto"/>
        <w:ind w:firstLine="504"/>
        <w:textAlignment w:val="baseline"/>
        <w:rPr>
          <w:rFonts w:hint="default" w:ascii="仿宋" w:hAnsi="仿宋" w:eastAsia="仿宋" w:cs="仿宋"/>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单位性质：</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股份有限公司（非上市）</w:t>
      </w:r>
    </w:p>
    <w:p>
      <w:pPr>
        <w:widowControl/>
        <w:kinsoku w:val="0"/>
        <w:autoSpaceDE w:val="0"/>
        <w:autoSpaceDN w:val="0"/>
        <w:adjustRightInd w:val="0"/>
        <w:snapToGrid w:val="0"/>
        <w:spacing w:before="217" w:beforeLines="50" w:line="240" w:lineRule="auto"/>
        <w:ind w:firstLine="504"/>
        <w:textAlignment w:val="baseline"/>
        <w:rPr>
          <w:rFonts w:hint="default" w:ascii="仿宋" w:hAnsi="仿宋" w:eastAsia="仿宋" w:cs="仿宋"/>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所属行业：</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金融业 &gt; 货币金融服务</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组织机构代码：9132100014073476XX</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联系电话：0514-82990219</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地址：江苏省扬州市同泰路107号</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1.2.2 机构介绍</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auto"/>
          <w:spacing w:val="6"/>
          <w:kern w:val="0"/>
          <w:sz w:val="24"/>
          <w:szCs w:val="24"/>
          <w:highlight w:val="none"/>
        </w:rPr>
      </w:pPr>
      <w:r>
        <w:rPr>
          <w:rFonts w:hint="eastAsia" w:ascii="仿宋" w:hAnsi="仿宋" w:eastAsia="仿宋" w:cs="仿宋"/>
          <w:snapToGrid w:val="0"/>
          <w:color w:val="auto"/>
          <w:spacing w:val="6"/>
          <w:kern w:val="0"/>
          <w:sz w:val="24"/>
          <w:szCs w:val="24"/>
        </w:rPr>
        <w:t>江苏扬州农村商业银行股份有限公司目</w:t>
      </w:r>
      <w:r>
        <w:rPr>
          <w:rFonts w:hint="eastAsia" w:ascii="仿宋" w:hAnsi="仿宋" w:eastAsia="仿宋" w:cs="仿宋"/>
          <w:snapToGrid w:val="0"/>
          <w:color w:val="auto"/>
          <w:spacing w:val="6"/>
          <w:kern w:val="0"/>
          <w:sz w:val="24"/>
          <w:szCs w:val="24"/>
          <w:highlight w:val="none"/>
        </w:rPr>
        <w:t>前注册资本84872万元，拥有1家营业部，5</w:t>
      </w:r>
      <w:r>
        <w:rPr>
          <w:rFonts w:hint="eastAsia" w:ascii="仿宋" w:hAnsi="仿宋" w:eastAsia="仿宋" w:cs="仿宋"/>
          <w:snapToGrid w:val="0"/>
          <w:color w:val="auto"/>
          <w:spacing w:val="6"/>
          <w:kern w:val="0"/>
          <w:sz w:val="24"/>
          <w:szCs w:val="24"/>
          <w:highlight w:val="none"/>
          <w:lang w:val="en-US" w:eastAsia="zh-CN"/>
        </w:rPr>
        <w:t>1</w:t>
      </w:r>
      <w:r>
        <w:rPr>
          <w:rFonts w:hint="eastAsia" w:ascii="仿宋" w:hAnsi="仿宋" w:eastAsia="仿宋" w:cs="仿宋"/>
          <w:snapToGrid w:val="0"/>
          <w:color w:val="auto"/>
          <w:spacing w:val="6"/>
          <w:kern w:val="0"/>
          <w:sz w:val="24"/>
          <w:szCs w:val="24"/>
          <w:highlight w:val="none"/>
        </w:rPr>
        <w:t>家支行（含分理处），机构网点总数5</w:t>
      </w:r>
      <w:r>
        <w:rPr>
          <w:rFonts w:hint="eastAsia" w:ascii="仿宋" w:hAnsi="仿宋" w:eastAsia="仿宋" w:cs="仿宋"/>
          <w:snapToGrid w:val="0"/>
          <w:color w:val="auto"/>
          <w:spacing w:val="6"/>
          <w:kern w:val="0"/>
          <w:sz w:val="24"/>
          <w:szCs w:val="24"/>
          <w:highlight w:val="none"/>
          <w:lang w:val="en-US" w:eastAsia="zh-CN"/>
        </w:rPr>
        <w:t>2</w:t>
      </w:r>
      <w:r>
        <w:rPr>
          <w:rFonts w:hint="eastAsia" w:ascii="仿宋" w:hAnsi="仿宋" w:eastAsia="仿宋" w:cs="仿宋"/>
          <w:snapToGrid w:val="0"/>
          <w:color w:val="auto"/>
          <w:spacing w:val="6"/>
          <w:kern w:val="0"/>
          <w:sz w:val="24"/>
          <w:szCs w:val="24"/>
          <w:highlight w:val="none"/>
        </w:rPr>
        <w:t>家，员工800余名。近年来，在市委、市政府的正确领导下，在社会各界的大力支持下，扬州农村商业银行坚持以习近平新时代中国特色社会主义思想为指导，以打造精品零售银行为目标，立足“三农”、服务小微企业，发挥特色优势，调结构促发展，防风险严管理，抓服务树形象，强基础推改革，全面提高经营管理水平和市场竞争力。截至2023年末，全行资产总额557.95亿元，各项存、贷款余额分别为466.29亿元、390.88亿元。</w:t>
      </w:r>
    </w:p>
    <w:p>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snapToGrid w:val="0"/>
          <w:color w:val="000000" w:themeColor="text1"/>
          <w:spacing w:val="6"/>
          <w:kern w:val="0"/>
          <w:sz w:val="24"/>
          <w:szCs w:val="24"/>
          <w14:textFill>
            <w14:solidFill>
              <w14:schemeClr w14:val="tx1"/>
            </w14:solidFill>
          </w14:textFill>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851" w:footer="992" w:gutter="0"/>
          <w:pgNumType w:fmt="decimal" w:start="1"/>
          <w:cols w:space="720" w:num="1"/>
          <w:titlePg/>
          <w:docGrid w:type="lines" w:linePitch="435" w:charSpace="0"/>
        </w:sectPr>
      </w:pPr>
      <w:r>
        <w:rPr>
          <w:rFonts w:hint="eastAsia" w:ascii="仿宋" w:hAnsi="仿宋" w:eastAsia="仿宋" w:cs="仿宋"/>
          <w:snapToGrid w:val="0"/>
          <w:color w:val="auto"/>
          <w:spacing w:val="6"/>
          <w:kern w:val="0"/>
          <w:sz w:val="24"/>
          <w:szCs w:val="24"/>
          <w:highlight w:val="none"/>
        </w:rPr>
        <w:t>自成立以来，</w:t>
      </w:r>
      <w:r>
        <w:rPr>
          <w:rFonts w:hint="eastAsia" w:ascii="仿宋" w:hAnsi="仿宋" w:eastAsia="仿宋" w:cs="仿宋"/>
          <w:color w:val="auto"/>
          <w:spacing w:val="6"/>
          <w:sz w:val="24"/>
          <w:highlight w:val="none"/>
        </w:rPr>
        <w:t>扬州农商</w:t>
      </w:r>
      <w:r>
        <w:rPr>
          <w:rFonts w:ascii="仿宋" w:hAnsi="仿宋" w:eastAsia="仿宋" w:cs="仿宋"/>
          <w:color w:val="auto"/>
          <w:spacing w:val="6"/>
          <w:sz w:val="24"/>
          <w:highlight w:val="none"/>
        </w:rPr>
        <w:t>银行</w:t>
      </w:r>
      <w:r>
        <w:rPr>
          <w:rFonts w:hint="eastAsia" w:ascii="仿宋" w:hAnsi="仿宋" w:eastAsia="仿宋" w:cs="仿宋"/>
          <w:snapToGrid w:val="0"/>
          <w:color w:val="auto"/>
          <w:spacing w:val="6"/>
          <w:kern w:val="0"/>
          <w:sz w:val="24"/>
          <w:szCs w:val="24"/>
          <w:highlight w:val="none"/>
        </w:rPr>
        <w:t>积极支持扬州经济社会发展，并获得“市级机关目标综合考评先进单位”、”小微企业服务先进单位”、“省级文明单位”、“全国文明单位</w:t>
      </w:r>
      <w:r>
        <w:rPr>
          <w:rFonts w:hint="default" w:ascii="仿宋" w:hAnsi="仿宋" w:eastAsia="仿宋" w:cs="仿宋"/>
          <w:snapToGrid w:val="0"/>
          <w:color w:val="auto"/>
          <w:spacing w:val="6"/>
          <w:kern w:val="0"/>
          <w:sz w:val="24"/>
          <w:szCs w:val="24"/>
          <w:highlight w:val="none"/>
          <w:lang w:val="en-US" w:eastAsia="zh-CN"/>
        </w:rPr>
        <w:t>”</w:t>
      </w:r>
      <w:r>
        <w:rPr>
          <w:rFonts w:hint="eastAsia" w:ascii="仿宋" w:hAnsi="仿宋" w:eastAsia="仿宋" w:cs="仿宋"/>
          <w:snapToGrid w:val="0"/>
          <w:color w:val="auto"/>
          <w:spacing w:val="6"/>
          <w:kern w:val="0"/>
          <w:sz w:val="24"/>
          <w:szCs w:val="24"/>
          <w:highlight w:val="none"/>
        </w:rPr>
        <w:t>荣誉称号，是真正的“扬州人自己的银</w:t>
      </w:r>
      <w:r>
        <w:rPr>
          <w:rFonts w:hint="eastAsia" w:ascii="仿宋" w:hAnsi="仿宋" w:eastAsia="仿宋" w:cs="仿宋"/>
          <w:snapToGrid w:val="0"/>
          <w:color w:val="000000" w:themeColor="text1"/>
          <w:spacing w:val="6"/>
          <w:kern w:val="0"/>
          <w:sz w:val="24"/>
          <w:szCs w:val="24"/>
          <w14:textFill>
            <w14:solidFill>
              <w14:schemeClr w14:val="tx1"/>
            </w14:solidFill>
          </w14:textFill>
        </w:rPr>
        <w:t>行”。站在新的起点，肩负新的使命，</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本</w:t>
      </w:r>
      <w:r>
        <w:rPr>
          <w:rFonts w:hint="eastAsia" w:ascii="仿宋" w:hAnsi="仿宋" w:eastAsia="仿宋" w:cs="仿宋"/>
          <w:snapToGrid w:val="0"/>
          <w:color w:val="000000" w:themeColor="text1"/>
          <w:spacing w:val="6"/>
          <w:kern w:val="0"/>
          <w:sz w:val="24"/>
          <w:szCs w:val="24"/>
          <w14:textFill>
            <w14:solidFill>
              <w14:schemeClr w14:val="tx1"/>
            </w14:solidFill>
          </w14:textFill>
        </w:rPr>
        <w:t>行将始终秉承“精诚、昱德、立新”的企业核心价值观，发扬“奋苦者大为”的企业精神，脚踏服务“三农“的历史根基，手握不断创新转型的时代舵盘，以高质量发展为目标，深耕普惠金融，服务实体经济，支持乡村振兴，努力为地方经济发展做出新的更大的贡献，实现“富强美好城乡，筑梦扬州金融”的企业使命，力争成为“区域最具服务力的银行”。</w:t>
      </w:r>
    </w:p>
    <w:p>
      <w:pPr>
        <w:pStyle w:val="2"/>
        <w:tabs>
          <w:tab w:val="clear" w:pos="420"/>
        </w:tabs>
        <w:ind w:left="0" w:leftChars="0" w:firstLine="0" w:firstLineChars="0"/>
        <w:rPr>
          <w:rFonts w:hint="eastAsia" w:hAnsi="Times New Roman" w:cs="宋体"/>
        </w:rPr>
      </w:pPr>
      <w:bookmarkStart w:id="3" w:name="_Toc175304987"/>
      <w:r>
        <w:rPr>
          <w:rFonts w:hint="eastAsia" w:hAnsi="Times New Roman" w:cs="宋体"/>
        </w:rPr>
        <w:t>年度概况</w:t>
      </w:r>
      <w:bookmarkEnd w:id="3"/>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4" w:name="_Toc175304988"/>
      <w:r>
        <w:rPr>
          <w:rFonts w:hint="eastAsia" w:ascii="黑体" w:hAnsi="黑体" w:eastAsia="黑体" w:cs="黑体"/>
          <w:b w:val="0"/>
          <w:bCs w:val="0"/>
          <w:color w:val="000000"/>
          <w:sz w:val="28"/>
          <w:szCs w:val="28"/>
          <w:highlight w:val="none"/>
          <w:lang w:val="en-US" w:eastAsia="zh-CN"/>
        </w:rPr>
        <w:t>2.1 目标愿景</w:t>
      </w:r>
      <w:bookmarkEnd w:id="4"/>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2.1.1 环境、绿色金融相关目标设置情况</w:t>
      </w:r>
    </w:p>
    <w:p>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color w:val="000000" w:themeColor="text1"/>
          <w:spacing w:val="6"/>
          <w:sz w:val="24"/>
          <w14:textFill>
            <w14:solidFill>
              <w14:schemeClr w14:val="tx1"/>
            </w14:solidFill>
          </w14:textFill>
        </w:rPr>
        <w:t>扬州农商</w:t>
      </w:r>
      <w:r>
        <w:rPr>
          <w:rFonts w:ascii="仿宋" w:hAnsi="仿宋" w:eastAsia="仿宋" w:cs="仿宋"/>
          <w:color w:val="000000" w:themeColor="text1"/>
          <w:spacing w:val="6"/>
          <w:sz w:val="24"/>
          <w14:textFill>
            <w14:solidFill>
              <w14:schemeClr w14:val="tx1"/>
            </w14:solidFill>
          </w14:textFill>
        </w:rPr>
        <w:t>银行</w:t>
      </w:r>
      <w:r>
        <w:rPr>
          <w:rFonts w:hint="eastAsia" w:ascii="仿宋" w:hAnsi="仿宋" w:eastAsia="仿宋" w:cs="仿宋"/>
          <w:snapToGrid w:val="0"/>
          <w:color w:val="000000" w:themeColor="text1"/>
          <w:spacing w:val="6"/>
          <w:kern w:val="0"/>
          <w:sz w:val="24"/>
          <w:szCs w:val="24"/>
          <w14:textFill>
            <w14:solidFill>
              <w14:schemeClr w14:val="tx1"/>
            </w14:solidFill>
          </w14:textFill>
        </w:rPr>
        <w:t>致力于把绿色金融理念逐步融入到发展战略、信贷文化、信贷政策制度、管理流程和产品创新等各个环节之中，形成一套行之有效的绿色金融建设和发展的长效机制。同时，按照效益性、审慎性、可持续性要求，推动全行资产业务的行业结构、客户结构、产品结构向绿色战略目标转型。 力争到2026年，全行总体绿色金融业务占业务总额的5%，2024年至2026年每年绿色信贷增速不低于各项贷款平均增速。</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2.1.2 环境、绿色金融相关目标完成情况</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本行已连续3年保持绿色信贷增速不低于各项贷款平均增速，同时特别关注以民营企业为代表绿色制造企业，实现全行绿色制造类贷款的“三个逐年递增”，即绿色金融业务总额占比逐年递增、绿色金融业务总额同比增速逐年递增、绿色融资户数逐年递增。构建多元化的绿色金融产品体系，实现绿色金融业务在全行全线布局，涵盖公司金融业务、零售金融业务和金融市场业务，形成多线出击、协同作战、资源整合高效利用的专业化、系统化、综合型产品体系，满足客户多样化、多层次的金融服务需求。</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5" w:name="_Toc175304989"/>
      <w:r>
        <w:rPr>
          <w:rFonts w:hint="eastAsia" w:ascii="黑体" w:hAnsi="黑体" w:eastAsia="黑体" w:cs="黑体"/>
          <w:b w:val="0"/>
          <w:bCs w:val="0"/>
          <w:color w:val="000000"/>
          <w:sz w:val="28"/>
          <w:szCs w:val="28"/>
          <w:highlight w:val="none"/>
          <w:lang w:val="en-US" w:eastAsia="zh-CN"/>
        </w:rPr>
        <w:t>2.2 战略规划</w:t>
      </w:r>
      <w:bookmarkEnd w:id="5"/>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color w:val="000000" w:themeColor="text1"/>
          <w:spacing w:val="6"/>
          <w:sz w:val="24"/>
          <w14:textFill>
            <w14:solidFill>
              <w14:schemeClr w14:val="tx1"/>
            </w14:solidFill>
          </w14:textFill>
        </w:rPr>
        <w:t>扬州农商</w:t>
      </w:r>
      <w:r>
        <w:rPr>
          <w:rFonts w:ascii="仿宋" w:hAnsi="仿宋" w:eastAsia="仿宋" w:cs="仿宋"/>
          <w:color w:val="000000" w:themeColor="text1"/>
          <w:spacing w:val="6"/>
          <w:sz w:val="24"/>
          <w14:textFill>
            <w14:solidFill>
              <w14:schemeClr w14:val="tx1"/>
            </w14:solidFill>
          </w14:textFill>
        </w:rPr>
        <w:t>银行</w:t>
      </w:r>
      <w:r>
        <w:rPr>
          <w:rFonts w:hint="eastAsia" w:ascii="仿宋" w:hAnsi="仿宋" w:eastAsia="仿宋" w:cs="仿宋"/>
          <w:snapToGrid w:val="0"/>
          <w:color w:val="000000" w:themeColor="text1"/>
          <w:spacing w:val="6"/>
          <w:kern w:val="0"/>
          <w:sz w:val="24"/>
          <w:szCs w:val="24"/>
          <w14:textFill>
            <w14:solidFill>
              <w14:schemeClr w14:val="tx1"/>
            </w14:solidFill>
          </w14:textFill>
        </w:rPr>
        <w:t>深入贯彻绿色金融理念，以致力于建设“服务于长三角一体化的绿色银行”为发展方向。抢抓国家绿色发展、长三角一体化经济转型、结构调整等重大战略机遇，积极与政府、金融监管部门建立沟通机制、以绿色金融为抓手协同工作，服务区域绿色发展，提升绿色金融业务规模；强化内部管理机制创新，构建专业的绿色金融组织架构，积极开展绿色金融产品创新、积极参与绿色项目建设，加强绿色金融相关的政策制度建设，完善绿色信贷流程管理，主动建设系统化的绿色运营体系，加强绿色金融IT系统建设，完善环境信息披露；深耕本地，坚守定位，服务三农、服务小微，服务城乡居民，实现自身战略转型发展和差异化品牌建设与促进区域经济结构转型和地方生态建设的有机结合。</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eastAsia" w:ascii="黑体" w:hAnsi="黑体" w:eastAsia="黑体" w:cs="黑体"/>
          <w:b w:val="0"/>
          <w:bCs w:val="0"/>
          <w:color w:val="000000"/>
          <w:sz w:val="28"/>
          <w:szCs w:val="28"/>
          <w:highlight w:val="none"/>
          <w:lang w:val="en-US" w:eastAsia="zh-CN"/>
        </w:rPr>
      </w:pPr>
      <w:bookmarkStart w:id="6" w:name="_Toc175304990"/>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eastAsia" w:ascii="黑体" w:hAnsi="黑体" w:eastAsia="黑体" w:cs="黑体"/>
          <w:b w:val="0"/>
          <w:bCs w:val="0"/>
          <w:color w:val="000000"/>
          <w:sz w:val="28"/>
          <w:szCs w:val="28"/>
          <w:highlight w:val="none"/>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eastAsia" w:ascii="黑体" w:hAnsi="黑体" w:eastAsia="黑体" w:cs="黑体"/>
          <w:b w:val="0"/>
          <w:bCs w:val="0"/>
          <w:color w:val="000000"/>
          <w:sz w:val="28"/>
          <w:szCs w:val="28"/>
          <w:highlight w:val="none"/>
          <w:lang w:val="en-US" w:eastAsia="zh-CN"/>
        </w:rPr>
      </w:pPr>
      <w:bookmarkStart w:id="42" w:name="_GoBack"/>
      <w:bookmarkEnd w:id="42"/>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r>
        <w:rPr>
          <w:rFonts w:hint="eastAsia" w:ascii="黑体" w:hAnsi="黑体" w:eastAsia="黑体" w:cs="黑体"/>
          <w:b w:val="0"/>
          <w:bCs w:val="0"/>
          <w:color w:val="000000"/>
          <w:sz w:val="28"/>
          <w:szCs w:val="28"/>
          <w:highlight w:val="none"/>
          <w:lang w:val="en-US" w:eastAsia="zh-CN"/>
        </w:rPr>
        <w:t>2.3 政策内容</w:t>
      </w:r>
      <w:bookmarkEnd w:id="6"/>
    </w:p>
    <w:p>
      <w:pPr>
        <w:widowControl/>
        <w:kinsoku w:val="0"/>
        <w:autoSpaceDE w:val="0"/>
        <w:autoSpaceDN w:val="0"/>
        <w:adjustRightInd w:val="0"/>
        <w:snapToGrid w:val="0"/>
        <w:spacing w:before="156" w:beforeLines="50" w:line="240" w:lineRule="auto"/>
        <w:ind w:firstLine="506"/>
        <w:textAlignment w:val="baseline"/>
        <w:rPr>
          <w:rFonts w:ascii="仿宋" w:hAnsi="仿宋" w:eastAsia="仿宋" w:cs="仿宋"/>
          <w:b w:val="0"/>
          <w:bCs w:val="0"/>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val="0"/>
          <w:snapToGrid w:val="0"/>
          <w:color w:val="000000" w:themeColor="text1"/>
          <w:spacing w:val="6"/>
          <w:kern w:val="0"/>
          <w:sz w:val="24"/>
          <w:szCs w:val="24"/>
          <w14:textFill>
            <w14:solidFill>
              <w14:schemeClr w14:val="tx1"/>
            </w14:solidFill>
          </w14:textFill>
        </w:rPr>
        <w:t>1）体制机制变革，出台绿色三年规划。</w:t>
      </w:r>
      <w:r>
        <w:rPr>
          <w:rFonts w:hint="eastAsia" w:ascii="仿宋" w:hAnsi="仿宋" w:eastAsia="仿宋" w:cs="仿宋"/>
          <w:b w:val="0"/>
          <w:bCs w:val="0"/>
          <w:snapToGrid w:val="0"/>
          <w:color w:val="000000" w:themeColor="text1"/>
          <w:spacing w:val="6"/>
          <w:kern w:val="0"/>
          <w:sz w:val="24"/>
          <w:szCs w:val="24"/>
          <w:lang w:eastAsia="zh-CN"/>
          <w14:textFill>
            <w14:solidFill>
              <w14:schemeClr w14:val="tx1"/>
            </w14:solidFill>
          </w14:textFill>
        </w:rPr>
        <w:t>本行</w:t>
      </w:r>
      <w:r>
        <w:rPr>
          <w:rFonts w:hint="eastAsia" w:ascii="仿宋" w:hAnsi="仿宋" w:eastAsia="仿宋" w:cs="仿宋"/>
          <w:b w:val="0"/>
          <w:bCs w:val="0"/>
          <w:snapToGrid w:val="0"/>
          <w:color w:val="000000" w:themeColor="text1"/>
          <w:spacing w:val="6"/>
          <w:kern w:val="0"/>
          <w:sz w:val="24"/>
          <w:szCs w:val="24"/>
          <w14:textFill>
            <w14:solidFill>
              <w14:schemeClr w14:val="tx1"/>
            </w14:solidFill>
          </w14:textFill>
        </w:rPr>
        <w:t>制定了《绿色金融三年战略规划方案》，深入贯彻绿色金融理念，将自身战略转型发展和差异化品牌建设与促进地方生态建设和经济结构转型相结合，深化改革创新，促进金融服务能力提升，积极参与、支持长三角一体化发展、支持长三角一体化生态绿色发展示范区建设，按照风险可控、商业可持续原则，加大对绿色产业发展的金融投入，促进本行业务的可持续发展。</w:t>
      </w:r>
    </w:p>
    <w:p>
      <w:pPr>
        <w:widowControl/>
        <w:kinsoku w:val="0"/>
        <w:autoSpaceDE w:val="0"/>
        <w:autoSpaceDN w:val="0"/>
        <w:adjustRightInd w:val="0"/>
        <w:snapToGrid w:val="0"/>
        <w:spacing w:before="156" w:beforeLines="50" w:line="240" w:lineRule="auto"/>
        <w:ind w:firstLine="506"/>
        <w:textAlignment w:val="baseline"/>
        <w:rPr>
          <w:rFonts w:ascii="仿宋" w:hAnsi="仿宋" w:eastAsia="仿宋" w:cs="仿宋"/>
          <w:b w:val="0"/>
          <w:bCs w:val="0"/>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val="0"/>
          <w:snapToGrid w:val="0"/>
          <w:color w:val="000000" w:themeColor="text1"/>
          <w:spacing w:val="6"/>
          <w:kern w:val="0"/>
          <w:sz w:val="24"/>
          <w:szCs w:val="24"/>
          <w14:textFill>
            <w14:solidFill>
              <w14:schemeClr w14:val="tx1"/>
            </w14:solidFill>
          </w14:textFill>
        </w:rPr>
        <w:t>2）明确涉绿投向，编发授信指引办法。制定绿色信贷授信政策指引和管理办法。根据省联社提出的绿色金融发展工作指导意见，出台了</w:t>
      </w:r>
      <w:r>
        <w:rPr>
          <w:rFonts w:hint="eastAsia" w:ascii="仿宋" w:hAnsi="仿宋" w:eastAsia="仿宋" w:cs="仿宋"/>
          <w:b w:val="0"/>
          <w:bCs w:val="0"/>
          <w:snapToGrid w:val="0"/>
          <w:color w:val="000000" w:themeColor="text1"/>
          <w:spacing w:val="6"/>
          <w:kern w:val="0"/>
          <w:sz w:val="24"/>
          <w:szCs w:val="24"/>
          <w:lang w:eastAsia="zh-CN"/>
          <w14:textFill>
            <w14:solidFill>
              <w14:schemeClr w14:val="tx1"/>
            </w14:solidFill>
          </w14:textFill>
        </w:rPr>
        <w:t>本行</w:t>
      </w:r>
      <w:r>
        <w:rPr>
          <w:rFonts w:hint="eastAsia" w:ascii="仿宋" w:hAnsi="仿宋" w:eastAsia="仿宋" w:cs="仿宋"/>
          <w:b w:val="0"/>
          <w:bCs w:val="0"/>
          <w:snapToGrid w:val="0"/>
          <w:color w:val="000000" w:themeColor="text1"/>
          <w:spacing w:val="6"/>
          <w:kern w:val="0"/>
          <w:sz w:val="24"/>
          <w:szCs w:val="24"/>
          <w14:textFill>
            <w14:solidFill>
              <w14:schemeClr w14:val="tx1"/>
            </w14:solidFill>
          </w14:textFill>
        </w:rPr>
        <w:t>的《绿色信贷授信政策指引》，明确要求全行以绿色农业发展、绿色乡村建设、节能减排产业发展、清洁能源发展、绿色低碳生活、自然生态保护修复为主线，多渠道加大该类绿色信贷的支持力度，确保展业有方向、审批有标准。</w:t>
      </w:r>
    </w:p>
    <w:p>
      <w:pPr>
        <w:widowControl/>
        <w:kinsoku w:val="0"/>
        <w:autoSpaceDE w:val="0"/>
        <w:autoSpaceDN w:val="0"/>
        <w:adjustRightInd w:val="0"/>
        <w:snapToGrid w:val="0"/>
        <w:spacing w:before="156" w:beforeLines="50" w:line="240" w:lineRule="auto"/>
        <w:ind w:firstLine="506"/>
        <w:textAlignment w:val="baseline"/>
        <w:rPr>
          <w:rFonts w:ascii="仿宋" w:hAnsi="仿宋" w:eastAsia="仿宋" w:cs="仿宋"/>
          <w:b w:val="0"/>
          <w:bCs w:val="0"/>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val="0"/>
          <w:snapToGrid w:val="0"/>
          <w:color w:val="000000" w:themeColor="text1"/>
          <w:spacing w:val="6"/>
          <w:kern w:val="0"/>
          <w:sz w:val="24"/>
          <w:szCs w:val="24"/>
          <w14:textFill>
            <w14:solidFill>
              <w14:schemeClr w14:val="tx1"/>
            </w14:solidFill>
          </w14:textFill>
        </w:rPr>
        <w:t>3）加强队伍建设，提升涉绿认知象限。在中台部门下成立绿色金融事业部二级部门，配备绿色金融的专职管理人员，负责制定适应绿色信贷业务发展特点的信用评级、信贷流程和风险控制等规章制度，不断完善绿色信贷利率定价、内部信用评价、业务审批和内部激励约束机制，明确绿色信贷的支持方向和重点领域，实行差别化、动态化管理，筑牢绿色业务发展基础，同时</w:t>
      </w:r>
      <w:r>
        <w:rPr>
          <w:rFonts w:hint="eastAsia" w:ascii="仿宋" w:hAnsi="仿宋" w:eastAsia="仿宋" w:cs="仿宋"/>
          <w:b w:val="0"/>
          <w:bCs w:val="0"/>
          <w:snapToGrid w:val="0"/>
          <w:color w:val="000000" w:themeColor="text1"/>
          <w:spacing w:val="6"/>
          <w:kern w:val="0"/>
          <w:sz w:val="24"/>
          <w:szCs w:val="24"/>
          <w:lang w:eastAsia="zh-CN"/>
          <w14:textFill>
            <w14:solidFill>
              <w14:schemeClr w14:val="tx1"/>
            </w14:solidFill>
          </w14:textFill>
        </w:rPr>
        <w:t>本行</w:t>
      </w:r>
      <w:r>
        <w:rPr>
          <w:rFonts w:hint="eastAsia" w:ascii="仿宋" w:hAnsi="仿宋" w:eastAsia="仿宋" w:cs="仿宋"/>
          <w:b w:val="0"/>
          <w:bCs w:val="0"/>
          <w:snapToGrid w:val="0"/>
          <w:color w:val="000000" w:themeColor="text1"/>
          <w:spacing w:val="6"/>
          <w:kern w:val="0"/>
          <w:sz w:val="24"/>
          <w:szCs w:val="24"/>
          <w14:textFill>
            <w14:solidFill>
              <w14:schemeClr w14:val="tx1"/>
            </w14:solidFill>
          </w14:textFill>
        </w:rPr>
        <w:t>会不定期开展客户经理绿色信贷培训，及时将最新的绿色金融政策传达到位，通过培训与学习提升客户经理对于绿色企业和绿色信贷的认知，从而提升服务区域内绿色企业的能力。</w:t>
      </w:r>
    </w:p>
    <w:p>
      <w:pPr>
        <w:widowControl/>
        <w:kinsoku w:val="0"/>
        <w:autoSpaceDE w:val="0"/>
        <w:autoSpaceDN w:val="0"/>
        <w:adjustRightInd w:val="0"/>
        <w:snapToGrid w:val="0"/>
        <w:spacing w:before="156" w:beforeLines="50" w:line="240" w:lineRule="auto"/>
        <w:ind w:firstLine="506"/>
        <w:textAlignment w:val="baseline"/>
        <w:rPr>
          <w:rFonts w:ascii="仿宋" w:hAnsi="仿宋" w:eastAsia="仿宋" w:cs="仿宋"/>
          <w:b w:val="0"/>
          <w:bCs w:val="0"/>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val="0"/>
          <w:snapToGrid w:val="0"/>
          <w:color w:val="000000" w:themeColor="text1"/>
          <w:spacing w:val="6"/>
          <w:kern w:val="0"/>
          <w:sz w:val="24"/>
          <w:szCs w:val="24"/>
          <w14:textFill>
            <w14:solidFill>
              <w14:schemeClr w14:val="tx1"/>
            </w14:solidFill>
          </w14:textFill>
        </w:rPr>
        <w:t>4）产品流程重塑，开发短链快批产品。一是积极与相关政府部门开展合作，借助专家力量、扶持资金等，创新能效融资产品。</w:t>
      </w:r>
      <w:r>
        <w:rPr>
          <w:rFonts w:hint="eastAsia" w:ascii="仿宋" w:hAnsi="仿宋" w:eastAsia="仿宋" w:cs="仿宋"/>
          <w:b w:val="0"/>
          <w:bCs w:val="0"/>
          <w:snapToGrid w:val="0"/>
          <w:color w:val="000000" w:themeColor="text1"/>
          <w:spacing w:val="6"/>
          <w:kern w:val="0"/>
          <w:sz w:val="24"/>
          <w:szCs w:val="24"/>
          <w:lang w:eastAsia="zh-CN"/>
          <w14:textFill>
            <w14:solidFill>
              <w14:schemeClr w14:val="tx1"/>
            </w14:solidFill>
          </w14:textFill>
        </w:rPr>
        <w:t>本行</w:t>
      </w:r>
      <w:r>
        <w:rPr>
          <w:rFonts w:hint="eastAsia" w:ascii="仿宋" w:hAnsi="仿宋" w:eastAsia="仿宋" w:cs="仿宋"/>
          <w:b w:val="0"/>
          <w:bCs w:val="0"/>
          <w:snapToGrid w:val="0"/>
          <w:color w:val="000000" w:themeColor="text1"/>
          <w:spacing w:val="6"/>
          <w:kern w:val="0"/>
          <w:sz w:val="24"/>
          <w:szCs w:val="24"/>
          <w14:textFill>
            <w14:solidFill>
              <w14:schemeClr w14:val="tx1"/>
            </w14:solidFill>
          </w14:textFill>
        </w:rPr>
        <w:t>积极推进“园区保”业务发展，该产品支持的对象是“循环产业园”客户，符合绿色信贷的要求，通过与政府部门合作，及时跟进落实绿色信贷政策，不断优化</w:t>
      </w:r>
      <w:r>
        <w:rPr>
          <w:rFonts w:hint="eastAsia" w:ascii="仿宋" w:hAnsi="仿宋" w:eastAsia="仿宋" w:cs="仿宋"/>
          <w:b w:val="0"/>
          <w:bCs w:val="0"/>
          <w:snapToGrid w:val="0"/>
          <w:color w:val="000000" w:themeColor="text1"/>
          <w:spacing w:val="6"/>
          <w:kern w:val="0"/>
          <w:sz w:val="24"/>
          <w:szCs w:val="24"/>
          <w:lang w:eastAsia="zh-CN"/>
          <w14:textFill>
            <w14:solidFill>
              <w14:schemeClr w14:val="tx1"/>
            </w14:solidFill>
          </w14:textFill>
        </w:rPr>
        <w:t>本行</w:t>
      </w:r>
      <w:r>
        <w:rPr>
          <w:rFonts w:hint="eastAsia" w:ascii="仿宋" w:hAnsi="仿宋" w:eastAsia="仿宋" w:cs="仿宋"/>
          <w:b w:val="0"/>
          <w:bCs w:val="0"/>
          <w:snapToGrid w:val="0"/>
          <w:color w:val="000000" w:themeColor="text1"/>
          <w:spacing w:val="6"/>
          <w:kern w:val="0"/>
          <w:sz w:val="24"/>
          <w:szCs w:val="24"/>
          <w14:textFill>
            <w14:solidFill>
              <w14:schemeClr w14:val="tx1"/>
            </w14:solidFill>
          </w14:textFill>
        </w:rPr>
        <w:t>的贷款产品，形成支持绿色发展的良性机制。二是针对符合绿色信贷要求的企业及项目，创新担保方式，积极开展适合绿色农业、绿色能源、绿色建筑、绿色供应链等领域的绿色产品创新，逐步推出了贸易融资、专利权质押、排污权质押、动产质押等担保方式，拓展与保险、政策性融资担保公司等机构合作，为客户提供增信措施，已相继推出小微贷、苏农担、苏科贷等系列产品。</w:t>
      </w:r>
    </w:p>
    <w:p>
      <w:pPr>
        <w:widowControl/>
        <w:kinsoku w:val="0"/>
        <w:autoSpaceDE w:val="0"/>
        <w:autoSpaceDN w:val="0"/>
        <w:adjustRightInd w:val="0"/>
        <w:snapToGrid w:val="0"/>
        <w:spacing w:before="156" w:beforeLines="50" w:line="240" w:lineRule="auto"/>
        <w:ind w:firstLine="506"/>
        <w:textAlignment w:val="baseline"/>
        <w:rPr>
          <w:rFonts w:ascii="仿宋" w:hAnsi="仿宋" w:eastAsia="仿宋" w:cs="仿宋"/>
          <w:b w:val="0"/>
          <w:bCs w:val="0"/>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val="0"/>
          <w:snapToGrid w:val="0"/>
          <w:color w:val="000000" w:themeColor="text1"/>
          <w:spacing w:val="6"/>
          <w:kern w:val="0"/>
          <w:sz w:val="24"/>
          <w:szCs w:val="24"/>
          <w14:textFill>
            <w14:solidFill>
              <w14:schemeClr w14:val="tx1"/>
            </w14:solidFill>
          </w14:textFill>
        </w:rPr>
        <w:t>5）指标分解推动，发挥考核引导作用。在历年考核中单列绿色金融专项考核，建立绩效指标体系，以定量指标为主，注重指标的可测性,通过具体清晰的考核激励指标，同时强化过程督导，将位置与岗位挂钩，促使全行的部门与人员有足够动力执行落地绿色信贷战略目标。</w:t>
      </w:r>
    </w:p>
    <w:p>
      <w:pPr>
        <w:widowControl/>
        <w:kinsoku w:val="0"/>
        <w:autoSpaceDE w:val="0"/>
        <w:autoSpaceDN w:val="0"/>
        <w:adjustRightInd w:val="0"/>
        <w:snapToGrid w:val="0"/>
        <w:spacing w:before="156" w:beforeLines="50" w:line="240" w:lineRule="auto"/>
        <w:ind w:firstLine="506"/>
        <w:textAlignment w:val="baseline"/>
        <w:rPr>
          <w:rFonts w:hint="eastAsia" w:ascii="仿宋" w:hAnsi="仿宋" w:eastAsia="仿宋" w:cs="仿宋"/>
          <w:b w:val="0"/>
          <w:bCs w:val="0"/>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val="0"/>
          <w:snapToGrid w:val="0"/>
          <w:color w:val="000000" w:themeColor="text1"/>
          <w:spacing w:val="6"/>
          <w:kern w:val="0"/>
          <w:sz w:val="24"/>
          <w:szCs w:val="24"/>
          <w14:textFill>
            <w14:solidFill>
              <w14:schemeClr w14:val="tx1"/>
            </w14:solidFill>
          </w14:textFill>
        </w:rPr>
        <w:t>6）落实尽责免责，提升涉绿信贷容忍度。将绿色信贷业务纳入尽职免责范围，提高绿色信贷不良容忍度，进一步推动信贷人员加大投放力度，充分发挥一线人员和授信审查审批人员的工作主动性。</w:t>
      </w:r>
    </w:p>
    <w:p>
      <w:pPr>
        <w:widowControl/>
        <w:kinsoku w:val="0"/>
        <w:autoSpaceDE w:val="0"/>
        <w:autoSpaceDN w:val="0"/>
        <w:adjustRightInd w:val="0"/>
        <w:snapToGrid w:val="0"/>
        <w:spacing w:before="156" w:beforeLines="50" w:line="240" w:lineRule="auto"/>
        <w:ind w:firstLine="506"/>
        <w:textAlignment w:val="baseline"/>
        <w:rPr>
          <w:rFonts w:hint="eastAsia" w:ascii="仿宋" w:hAnsi="仿宋" w:eastAsia="仿宋" w:cs="仿宋"/>
          <w:b w:val="0"/>
          <w:bCs w:val="0"/>
          <w:snapToGrid w:val="0"/>
          <w:color w:val="000000" w:themeColor="text1"/>
          <w:spacing w:val="6"/>
          <w:kern w:val="0"/>
          <w:sz w:val="24"/>
          <w:szCs w:val="24"/>
          <w14:textFill>
            <w14:solidFill>
              <w14:schemeClr w14:val="tx1"/>
            </w14:solidFill>
          </w14:textFill>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7" w:name="_Toc175304991"/>
      <w:r>
        <w:rPr>
          <w:rFonts w:hint="eastAsia" w:ascii="黑体" w:hAnsi="黑体" w:eastAsia="黑体" w:cs="黑体"/>
          <w:b w:val="0"/>
          <w:bCs w:val="0"/>
          <w:color w:val="000000"/>
          <w:sz w:val="28"/>
          <w:szCs w:val="28"/>
          <w:highlight w:val="none"/>
          <w:lang w:val="en-US" w:eastAsia="zh-CN"/>
        </w:rPr>
        <w:t>2.4 行动措施</w:t>
      </w:r>
      <w:bookmarkEnd w:id="7"/>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1）建立全行绿色金融业务“自顶而下”的组织保障</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充分发挥“董事会下设绿色金融专业委员会——总行绿色金融事业部——总行各部门/分支机构”的传导机制。一是绿色金融专业委员会辅助董事会制定本行绿色金融战略年度及中长期目标，并监督全行绿色金融战略实施情况；二是总行绿色金融事业部发挥绿色金融专业委员会“秘书处”职责，有序推进全行绿色金融具体工作落实；三是建立总行绿色金融事业部与总行各部门及分支机构之间的沟通机制，形成绿色金融重点工作推进领导小组及各专项工作组等固定或项目形式等非固定组织，建立一支包括总行各部门及分支机构骨干的兼职绿色金融人才队伍。</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2）加强总行绿色金融事业部的垂直管理能力</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一是重视总行绿色金融事业部建设及专业能力培养。绿色金融事业部为总行信贷管理部下属二级部门，并由信贷管理部总经理兼任负责人，制定中心职责，明晰工作目标、工作任务，配强中心力量，配备专职人员，全力推进全行绿色金融建设工作。二是在绿色金融业务领域，搭建总行绿色金融事业部与总行各部门之间的协同分工机制。建立绿色金融产品创新协同机制，由绿色金融事业部统筹全行各条线绿色金融产品创新工作；建立绿色金融差异化授信协同机制，由绿色金融事业部协同授信审批部门制定年度绿色金融差异化利率方案；建立绿色金融绩效考核机制协同机制，由绿色金融事业部协同计划财务部制定绿色金融业务考核制度；建立环境与社会风险管理协同机制，由绿色金融事业部协同配合风险管理部，明确全行环境与社会风险管理策略和机制。</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3）推动支行绿色金融业务能力和影响力提升</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一是总行加强对支行的资源支持，包括人力资源、能力建设、费用支持、业务指导等，让支行充分参与到全行绿色金融的创新中来，尤其是产品创新等环节。二是发挥绩效考核的引导作用，将绿色金融考核指标纳入支行考核体系，并考虑设立专项的激励机制，奖励绿色金融业务发展优秀的支行。</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eastAsia" w:ascii="黑体" w:hAnsi="黑体" w:eastAsia="黑体" w:cs="黑体"/>
          <w:b w:val="0"/>
          <w:bCs w:val="0"/>
          <w:color w:val="000000"/>
          <w:sz w:val="28"/>
          <w:szCs w:val="28"/>
          <w:highlight w:val="none"/>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8" w:name="_Toc175304992"/>
      <w:r>
        <w:rPr>
          <w:rFonts w:hint="eastAsia" w:ascii="黑体" w:hAnsi="黑体" w:eastAsia="黑体" w:cs="黑体"/>
          <w:b w:val="0"/>
          <w:bCs w:val="0"/>
          <w:color w:val="000000"/>
          <w:sz w:val="28"/>
          <w:szCs w:val="28"/>
          <w:highlight w:val="none"/>
          <w:lang w:val="en-US" w:eastAsia="zh-CN"/>
        </w:rPr>
        <w:t>2.5 主要成效</w:t>
      </w:r>
      <w:bookmarkEnd w:id="8"/>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sectPr>
          <w:pgSz w:w="11906" w:h="16838"/>
          <w:pgMar w:top="1440" w:right="1800" w:bottom="1440" w:left="1800" w:header="851" w:footer="992" w:gutter="0"/>
          <w:pgNumType w:fmt="decimal"/>
          <w:cols w:space="720" w:num="1"/>
          <w:titlePg/>
          <w:docGrid w:type="lines" w:linePitch="435" w:charSpace="0"/>
        </w:sectPr>
      </w:pPr>
      <w:r>
        <w:rPr>
          <w:rFonts w:hint="eastAsia" w:ascii="仿宋" w:hAnsi="仿宋" w:eastAsia="仿宋" w:cs="仿宋"/>
          <w:color w:val="000000" w:themeColor="text1"/>
          <w:spacing w:val="6"/>
          <w:sz w:val="24"/>
          <w14:textFill>
            <w14:solidFill>
              <w14:schemeClr w14:val="tx1"/>
            </w14:solidFill>
          </w14:textFill>
        </w:rPr>
        <w:t>扬州农商</w:t>
      </w:r>
      <w:r>
        <w:rPr>
          <w:rFonts w:ascii="仿宋" w:hAnsi="仿宋" w:eastAsia="仿宋" w:cs="仿宋"/>
          <w:color w:val="000000" w:themeColor="text1"/>
          <w:spacing w:val="6"/>
          <w:sz w:val="24"/>
          <w14:textFill>
            <w14:solidFill>
              <w14:schemeClr w14:val="tx1"/>
            </w14:solidFill>
          </w14:textFill>
        </w:rPr>
        <w:t>银行</w:t>
      </w:r>
      <w:r>
        <w:rPr>
          <w:rFonts w:hint="eastAsia" w:ascii="仿宋" w:hAnsi="仿宋" w:eastAsia="仿宋" w:cs="仿宋"/>
          <w:snapToGrid w:val="0"/>
          <w:color w:val="000000" w:themeColor="text1"/>
          <w:spacing w:val="6"/>
          <w:kern w:val="0"/>
          <w:sz w:val="24"/>
          <w:szCs w:val="24"/>
          <w14:textFill>
            <w14:solidFill>
              <w14:schemeClr w14:val="tx1"/>
            </w14:solidFill>
          </w14:textFill>
        </w:rPr>
        <w:t>202</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3</w:t>
      </w:r>
      <w:r>
        <w:rPr>
          <w:rFonts w:hint="eastAsia" w:ascii="仿宋" w:hAnsi="仿宋" w:eastAsia="仿宋" w:cs="仿宋"/>
          <w:snapToGrid w:val="0"/>
          <w:color w:val="000000" w:themeColor="text1"/>
          <w:spacing w:val="6"/>
          <w:kern w:val="0"/>
          <w:sz w:val="24"/>
          <w:szCs w:val="24"/>
          <w14:textFill>
            <w14:solidFill>
              <w14:schemeClr w14:val="tx1"/>
            </w14:solidFill>
          </w14:textFill>
        </w:rPr>
        <w:t>年继续加大了对绿色产业经济的支持力度，严控落后产能信贷投放</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。截止202</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3</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年12月末，本行绿色贷款余额</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107003.46</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万元，其中，节能环保产业</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13121</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万元，清洁生产产业</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2000万元，</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清洁能源产业</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13740</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万元，生态环境产业</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28705</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万元，基础设施绿色升级</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49437.46</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万元。与年初相比，增长</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43684.15</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万元，增幅</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68.99</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w:t>
      </w:r>
    </w:p>
    <w:p>
      <w:pPr>
        <w:pStyle w:val="2"/>
        <w:tabs>
          <w:tab w:val="clear" w:pos="420"/>
        </w:tabs>
        <w:ind w:left="0" w:leftChars="0" w:firstLine="0" w:firstLineChars="0"/>
        <w:rPr>
          <w:rFonts w:hint="eastAsia" w:hAnsi="Times New Roman" w:cs="宋体"/>
        </w:rPr>
      </w:pPr>
      <w:bookmarkStart w:id="9" w:name="_Toc175304993"/>
      <w:r>
        <w:rPr>
          <w:rFonts w:hint="eastAsia" w:hAnsi="Times New Roman" w:cs="宋体"/>
        </w:rPr>
        <w:t>治理结构</w:t>
      </w:r>
      <w:bookmarkEnd w:id="9"/>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10" w:name="_Toc175304994"/>
      <w:r>
        <w:rPr>
          <w:rFonts w:hint="eastAsia" w:ascii="黑体" w:hAnsi="黑体" w:eastAsia="黑体" w:cs="黑体"/>
          <w:b w:val="0"/>
          <w:bCs w:val="0"/>
          <w:color w:val="000000"/>
          <w:sz w:val="28"/>
          <w:szCs w:val="28"/>
          <w:highlight w:val="none"/>
          <w:lang w:val="en-US" w:eastAsia="zh-CN"/>
        </w:rPr>
        <w:t>3.1 董事会层</w:t>
      </w:r>
      <w:bookmarkEnd w:id="10"/>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3.1.1 环境、绿色金融委员会设置</w:t>
      </w:r>
    </w:p>
    <w:p>
      <w:pPr>
        <w:widowControl/>
        <w:kinsoku w:val="0"/>
        <w:autoSpaceDE w:val="0"/>
        <w:autoSpaceDN w:val="0"/>
        <w:adjustRightInd w:val="0"/>
        <w:snapToGrid w:val="0"/>
        <w:spacing w:before="217" w:beforeLines="50" w:line="240" w:lineRule="auto"/>
        <w:ind w:firstLine="506"/>
        <w:jc w:val="center"/>
        <w:textAlignment w:val="baseline"/>
        <w:rPr>
          <w:rFonts w:ascii="仿宋" w:hAnsi="仿宋" w:eastAsia="仿宋" w:cs="仿宋"/>
          <w:b/>
          <w:bCs/>
          <w:snapToGrid w:val="0"/>
          <w:color w:val="000000" w:themeColor="text1"/>
          <w:spacing w:val="6"/>
          <w:kern w:val="0"/>
          <w:sz w:val="24"/>
          <w:szCs w:val="24"/>
          <w14:textFill>
            <w14:solidFill>
              <w14:schemeClr w14:val="tx1"/>
            </w14:solidFill>
          </w14:textFill>
        </w:rPr>
      </w:pPr>
      <w:r>
        <w:rPr>
          <w:rFonts w:hint="eastAsia" w:ascii="仿宋" w:hAnsi="仿宋" w:eastAsia="仿宋" w:cs="仿宋"/>
          <w:b/>
          <w:bCs/>
          <w:snapToGrid w:val="0"/>
          <w:color w:val="000000" w:themeColor="text1"/>
          <w:spacing w:val="6"/>
          <w:kern w:val="0"/>
          <w:sz w:val="24"/>
          <w:szCs w:val="24"/>
          <w14:textFill>
            <w14:solidFill>
              <w14:schemeClr w14:val="tx1"/>
            </w14:solidFill>
          </w14:textFill>
        </w:rPr>
        <w:t>扬州农商银行组织架构图</w:t>
      </w:r>
    </w:p>
    <w:p>
      <w:pPr>
        <w:widowControl/>
        <w:kinsoku w:val="0"/>
        <w:autoSpaceDE w:val="0"/>
        <w:autoSpaceDN w:val="0"/>
        <w:adjustRightInd w:val="0"/>
        <w:snapToGrid w:val="0"/>
        <w:spacing w:before="217" w:beforeLines="50" w:line="240" w:lineRule="auto"/>
        <w:ind w:left="0" w:leftChars="0" w:firstLine="0" w:firstLineChars="0"/>
        <w:textAlignment w:val="baseline"/>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drawing>
          <wp:inline distT="0" distB="0" distL="114300" distR="114300">
            <wp:extent cx="5269865" cy="3443605"/>
            <wp:effectExtent l="0" t="0" r="3175" b="635"/>
            <wp:docPr id="1" name="图片 1" descr="47d90f903e58284a74e5581811ef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7d90f903e58284a74e5581811ef452"/>
                    <pic:cNvPicPr>
                      <a:picLocks noChangeAspect="1"/>
                    </pic:cNvPicPr>
                  </pic:nvPicPr>
                  <pic:blipFill>
                    <a:blip r:embed="rId27"/>
                    <a:stretch>
                      <a:fillRect/>
                    </a:stretch>
                  </pic:blipFill>
                  <pic:spPr>
                    <a:xfrm>
                      <a:off x="0" y="0"/>
                      <a:ext cx="5269865" cy="3443605"/>
                    </a:xfrm>
                    <a:prstGeom prst="rect">
                      <a:avLst/>
                    </a:prstGeom>
                  </pic:spPr>
                </pic:pic>
              </a:graphicData>
            </a:graphic>
          </wp:inline>
        </w:drawing>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设置情况：本行在董事会下设有绿色金融委员会，作为推动绿色金融战略实施的重要机构。</w:t>
      </w:r>
    </w:p>
    <w:p>
      <w:pPr>
        <w:widowControl/>
        <w:kinsoku w:val="0"/>
        <w:autoSpaceDE w:val="0"/>
        <w:autoSpaceDN w:val="0"/>
        <w:adjustRightInd w:val="0"/>
        <w:snapToGrid w:val="0"/>
        <w:spacing w:before="217" w:beforeLines="50" w:line="240" w:lineRule="auto"/>
        <w:ind w:firstLine="504"/>
        <w:textAlignment w:val="baseline"/>
        <w:rPr>
          <w:rFonts w:hint="eastAsia"/>
        </w:rPr>
      </w:pPr>
      <w:r>
        <w:rPr>
          <w:rFonts w:hint="eastAsia" w:ascii="仿宋" w:hAnsi="仿宋" w:eastAsia="仿宋" w:cs="仿宋"/>
          <w:snapToGrid w:val="0"/>
          <w:color w:val="000000" w:themeColor="text1"/>
          <w:spacing w:val="6"/>
          <w:kern w:val="0"/>
          <w:sz w:val="24"/>
          <w:szCs w:val="24"/>
          <w14:textFill>
            <w14:solidFill>
              <w14:schemeClr w14:val="tx1"/>
            </w14:solidFill>
          </w14:textFill>
        </w:rPr>
        <w:t>职责分工：该委员会主要负责制定绿色金融的发展目标和战略规划，审议相关政策和措施，监督绿色金融业务的执行情况，并评估其对社会、环境和经济的综合影响。通过专业化的管理和决策，确保绿色金融业务的可持续发展和有效推进。绿色金融委员会审议和批准全行的绿色信贷政策、标准和指南，确保信贷决策符合环保和可持续发展的要求。监督绿色信贷项目的实施和进展情况，评估项目的环境效益和社会责任表现。推动绿色金融产品和服务的创新，以满足市场和客户的多元化需求。加强与政府部门、监管机构及行业组织的沟通和合作，共同推动绿色金融的发展。</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3.1.2 环境相关风险和机遇的分析与决策</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color w:val="000000" w:themeColor="text1"/>
          <w:spacing w:val="6"/>
          <w:sz w:val="24"/>
          <w:lang w:val="en-US" w:eastAsia="zh-CN"/>
          <w14:textFill>
            <w14:solidFill>
              <w14:schemeClr w14:val="tx1"/>
            </w14:solidFill>
          </w14:textFill>
        </w:rPr>
        <w:t>本</w:t>
      </w:r>
      <w:r>
        <w:rPr>
          <w:rFonts w:ascii="仿宋" w:hAnsi="仿宋" w:eastAsia="仿宋" w:cs="仿宋"/>
          <w:color w:val="000000" w:themeColor="text1"/>
          <w:spacing w:val="6"/>
          <w:sz w:val="24"/>
          <w14:textFill>
            <w14:solidFill>
              <w14:schemeClr w14:val="tx1"/>
            </w14:solidFill>
          </w14:textFill>
        </w:rPr>
        <w:t>行</w:t>
      </w:r>
      <w:r>
        <w:rPr>
          <w:rFonts w:hint="eastAsia" w:ascii="仿宋" w:hAnsi="仿宋" w:eastAsia="仿宋" w:cs="仿宋"/>
          <w:snapToGrid w:val="0"/>
          <w:color w:val="000000" w:themeColor="text1"/>
          <w:spacing w:val="6"/>
          <w:kern w:val="0"/>
          <w:sz w:val="24"/>
          <w:szCs w:val="24"/>
          <w14:textFill>
            <w14:solidFill>
              <w14:schemeClr w14:val="tx1"/>
            </w14:solidFill>
          </w14:textFill>
        </w:rPr>
        <w:t>在董事会层面对环境相关风险和机遇进行了深入的分析与决策，具体体现在以下几个方面：从董事会层面提出支持绿色、低碳、循环经济，加强环境和社会风险管理，提升机构环境和社会表现的绿色信贷战略，领导班子在年初工作会议强调了绿色信贷的重要性，明确积极倡导绿色信贷，引导全行牢固树立绿色信贷理念，支持符合国家产业政策的好项目和好企业，促进银企共赢，加强对绿色信贷在制度建设、风险评估、内控监督体系以及工作能力建设等方面的保障，进而自觉主动做好绿色信贷工作。</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11" w:name="_Toc175304995"/>
      <w:r>
        <w:rPr>
          <w:rFonts w:hint="eastAsia" w:ascii="黑体" w:hAnsi="黑体" w:eastAsia="黑体" w:cs="黑体"/>
          <w:b w:val="0"/>
          <w:bCs w:val="0"/>
          <w:color w:val="000000"/>
          <w:sz w:val="28"/>
          <w:szCs w:val="28"/>
          <w:highlight w:val="none"/>
          <w:lang w:val="en-US" w:eastAsia="zh-CN"/>
        </w:rPr>
        <w:t>3.2 高级管理层</w:t>
      </w:r>
      <w:bookmarkEnd w:id="11"/>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3.2.1 负责环境问题的管理职位或内设机构</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color w:val="000000" w:themeColor="text1"/>
          <w:spacing w:val="6"/>
          <w:sz w:val="24"/>
          <w:lang w:val="en-US" w:eastAsia="zh-CN"/>
          <w14:textFill>
            <w14:solidFill>
              <w14:schemeClr w14:val="tx1"/>
            </w14:solidFill>
          </w14:textFill>
        </w:rPr>
        <w:t>本</w:t>
      </w:r>
      <w:r>
        <w:rPr>
          <w:rFonts w:ascii="仿宋" w:hAnsi="仿宋" w:eastAsia="仿宋" w:cs="仿宋"/>
          <w:color w:val="000000" w:themeColor="text1"/>
          <w:spacing w:val="6"/>
          <w:sz w:val="24"/>
          <w14:textFill>
            <w14:solidFill>
              <w14:schemeClr w14:val="tx1"/>
            </w14:solidFill>
          </w14:textFill>
        </w:rPr>
        <w:t>行</w:t>
      </w:r>
      <w:r>
        <w:rPr>
          <w:rFonts w:hint="eastAsia" w:ascii="仿宋" w:hAnsi="仿宋" w:eastAsia="仿宋" w:cs="仿宋"/>
          <w:snapToGrid w:val="0"/>
          <w:color w:val="000000" w:themeColor="text1"/>
          <w:spacing w:val="6"/>
          <w:kern w:val="0"/>
          <w:sz w:val="24"/>
          <w:szCs w:val="24"/>
          <w14:textFill>
            <w14:solidFill>
              <w14:schemeClr w14:val="tx1"/>
            </w14:solidFill>
          </w14:textFill>
        </w:rPr>
        <w:t>在高级管理层中设置了多个与环境、绿色金融相关的管理职位和内设机构，具体包括：</w:t>
      </w:r>
    </w:p>
    <w:p>
      <w:pPr>
        <w:widowControl/>
        <w:numPr>
          <w:ilvl w:val="0"/>
          <w:numId w:val="7"/>
        </w:numPr>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 xml:space="preserve">绿色金融管理职位/内设机构：本行在高级管理层中设有专门负责绿色金融的职位或内设机构，负责制定和执行绿色金融战略，推动绿色信贷业务的发展，评估绿色项目的环境效益，并确保业务运营符合环保法规要求。 </w:t>
      </w:r>
    </w:p>
    <w:p>
      <w:pPr>
        <w:widowControl/>
        <w:numPr>
          <w:ilvl w:val="0"/>
          <w:numId w:val="7"/>
        </w:numPr>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 xml:space="preserve">环境风险管理职位/内设机构：设立环境风险管理职位或内设机构，负责识别、评估和控制与环境相关的风险，确保业务运营中充分考虑环境因素，降低环境风险对银行业务的潜在影响。 </w:t>
      </w:r>
    </w:p>
    <w:p>
      <w:pPr>
        <w:widowControl/>
        <w:numPr>
          <w:ilvl w:val="0"/>
          <w:numId w:val="7"/>
        </w:numPr>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内控与合规职位：内控与合规部门在环境管理中也发挥重要作用，负责监督业务运营是否符合环保法规要求，确保合规风险得到有效管理，避免因违规行为引发的环境风险和声誉风险。</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3.2.2 机构的主要职责和报告路线</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 xml:space="preserve">1）主要职责。制定绿色金融战略：负责根据国家政策导向和市场发展趋势，制定本行的绿色金融战略和发展规划，明确绿色金融的发展目标和方向。评估与管理环境风险：建立健全环境风险评估体系，对环境相关风险进行定期评估和管理，确保银行业务运营符合环保要求，降低环境风险对业务的影响。监督绿色信贷业务：负责监督绿色信贷业务的执行情况，确保信贷资金投向符合环保要求的项目和企业，推动绿色信贷业务的持续健康发展。推动绿色金融产品创新：鼓励和支持绿色金融产品和服务的创新，满足市场和客户的多元化需求，提升绿色金融业务的竞争力。监控合规性：加强合规风险管理，确保业务运营符合环保法规要求，建立健全合规风险监测和报告机制，及时发现并纠正潜在的合规问题。开展环保宣传与合作：积极开展环保宣传和教育活动，提升员工和公众的环保意识；加强与其他金融机构、政府部门及环保组织的合作与交流，共同推动绿色金融的发展。企业社会责任实施：将履行社会责任作为重要工作之一，通过绿色金融等手段支持环保公益事业和社会可持续发展项目，提升企业社会形象和品牌价值。  </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2）报告路线。向上级报告：定期向高级管理层和董事会报告绿色金融工作进展、环境风险评估结果及管理措施执行情况，为管理层决策提供重要参考。内部沟通与协调：加强与各业务部门之间的沟通与协调，确保绿色金融战略在各业务领域的有效落实；同时，为业务部门提供绿色金融方面的专业支持和指导。外部报告与披露：按照相关法律法规和监管要求，定期向监管部门和社会公众披露绿色金融相关信息，包括绿色金融战略、政策、业务进展及环境风险评估结果等，增强信息透明度和社会责任感。监管报告：积极配合监管部门的监督检查工作，及时提交绿色金融相关监管报告和材料，确保业务运营符合监管要求并不断改进提升。</w:t>
      </w:r>
    </w:p>
    <w:p>
      <w:pPr>
        <w:pStyle w:val="12"/>
        <w:rPr>
          <w:rFonts w:hint="eastAsia"/>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12" w:name="_Toc175304996"/>
      <w:r>
        <w:rPr>
          <w:rFonts w:hint="eastAsia" w:ascii="黑体" w:hAnsi="黑体" w:eastAsia="黑体" w:cs="黑体"/>
          <w:b w:val="0"/>
          <w:bCs w:val="0"/>
          <w:color w:val="000000"/>
          <w:sz w:val="28"/>
          <w:szCs w:val="28"/>
          <w:highlight w:val="none"/>
          <w:lang w:val="en-US" w:eastAsia="zh-CN"/>
        </w:rPr>
        <w:t>3.3 专业执行层</w:t>
      </w:r>
      <w:bookmarkEnd w:id="12"/>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color w:val="000000" w:themeColor="text1"/>
          <w:spacing w:val="6"/>
          <w:sz w:val="24"/>
          <w:lang w:val="en-US" w:eastAsia="zh-CN"/>
          <w14:textFill>
            <w14:solidFill>
              <w14:schemeClr w14:val="tx1"/>
            </w14:solidFill>
          </w14:textFill>
        </w:rPr>
        <w:t>本</w:t>
      </w:r>
      <w:r>
        <w:rPr>
          <w:rFonts w:ascii="仿宋" w:hAnsi="仿宋" w:eastAsia="仿宋" w:cs="仿宋"/>
          <w:color w:val="000000" w:themeColor="text1"/>
          <w:spacing w:val="6"/>
          <w:sz w:val="24"/>
          <w14:textFill>
            <w14:solidFill>
              <w14:schemeClr w14:val="tx1"/>
            </w14:solidFill>
          </w14:textFill>
        </w:rPr>
        <w:t>行</w:t>
      </w:r>
      <w:r>
        <w:rPr>
          <w:rFonts w:hint="eastAsia" w:ascii="仿宋" w:hAnsi="仿宋" w:eastAsia="仿宋" w:cs="仿宋"/>
          <w:snapToGrid w:val="0"/>
          <w:color w:val="000000" w:themeColor="text1"/>
          <w:spacing w:val="6"/>
          <w:kern w:val="0"/>
          <w:sz w:val="24"/>
          <w:szCs w:val="24"/>
          <w14:textFill>
            <w14:solidFill>
              <w14:schemeClr w14:val="tx1"/>
            </w14:solidFill>
          </w14:textFill>
        </w:rPr>
        <w:t>在绿色金融领域设有专业的执行层，以确保绿色金融战略的有效实施。具体设置情况如下：</w:t>
      </w:r>
    </w:p>
    <w:p>
      <w:pPr>
        <w:widowControl/>
        <w:numPr>
          <w:ilvl w:val="0"/>
          <w:numId w:val="8"/>
        </w:numPr>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绿色金融专业部门/绿色事业部总体数量：</w:t>
      </w:r>
      <w:r>
        <w:rPr>
          <w:rFonts w:hint="eastAsia" w:ascii="仿宋" w:hAnsi="仿宋" w:eastAsia="仿宋" w:cs="仿宋"/>
          <w:snapToGrid w:val="0"/>
          <w:color w:val="000000" w:themeColor="text1"/>
          <w:spacing w:val="6"/>
          <w:kern w:val="0"/>
          <w:sz w:val="24"/>
          <w:szCs w:val="24"/>
          <w:highlight w:val="none"/>
          <w14:textFill>
            <w14:solidFill>
              <w14:schemeClr w14:val="tx1"/>
            </w14:solidFill>
          </w14:textFill>
        </w:rPr>
        <w:t>本行设立了专门的绿色金融事业部</w:t>
      </w:r>
      <w:r>
        <w:rPr>
          <w:rFonts w:hint="eastAsia" w:ascii="仿宋" w:hAnsi="仿宋" w:eastAsia="仿宋" w:cs="仿宋"/>
          <w:snapToGrid w:val="0"/>
          <w:color w:val="000000" w:themeColor="text1"/>
          <w:spacing w:val="6"/>
          <w:kern w:val="0"/>
          <w:sz w:val="24"/>
          <w:szCs w:val="24"/>
          <w:highlight w:val="none"/>
          <w:lang w:val="en-US" w:eastAsia="zh-CN"/>
          <w14:textFill>
            <w14:solidFill>
              <w14:schemeClr w14:val="tx1"/>
            </w14:solidFill>
          </w14:textFill>
        </w:rPr>
        <w:t>门</w:t>
      </w:r>
      <w:r>
        <w:rPr>
          <w:rFonts w:hint="eastAsia" w:ascii="仿宋" w:hAnsi="仿宋" w:eastAsia="仿宋" w:cs="仿宋"/>
          <w:snapToGrid w:val="0"/>
          <w:color w:val="000000" w:themeColor="text1"/>
          <w:spacing w:val="6"/>
          <w:kern w:val="0"/>
          <w:sz w:val="24"/>
          <w:szCs w:val="24"/>
          <w:highlight w:val="none"/>
          <w14:textFill>
            <w14:solidFill>
              <w14:schemeClr w14:val="tx1"/>
            </w14:solidFill>
          </w14:textFill>
        </w:rPr>
        <w:t>，负责全行绿色金融业务的规划、管理和执行。部门配备了专业的绿色金融团队，包括策略规划、产品开发、风险管理、市</w:t>
      </w:r>
      <w:r>
        <w:rPr>
          <w:rFonts w:hint="eastAsia" w:ascii="仿宋" w:hAnsi="仿宋" w:eastAsia="仿宋" w:cs="仿宋"/>
          <w:snapToGrid w:val="0"/>
          <w:color w:val="000000" w:themeColor="text1"/>
          <w:spacing w:val="6"/>
          <w:kern w:val="0"/>
          <w:sz w:val="24"/>
          <w:szCs w:val="24"/>
          <w14:textFill>
            <w14:solidFill>
              <w14:schemeClr w14:val="tx1"/>
            </w14:solidFill>
          </w14:textFill>
        </w:rPr>
        <w:t xml:space="preserve">场拓展等多个岗位，专职人员总数根据业务需求合理配置。  </w:t>
      </w:r>
    </w:p>
    <w:p>
      <w:pPr>
        <w:widowControl/>
        <w:numPr>
          <w:ilvl w:val="0"/>
          <w:numId w:val="0"/>
        </w:numPr>
        <w:kinsoku w:val="0"/>
        <w:autoSpaceDE w:val="0"/>
        <w:autoSpaceDN w:val="0"/>
        <w:adjustRightInd w:val="0"/>
        <w:snapToGrid w:val="0"/>
        <w:spacing w:before="217" w:beforeLines="50" w:line="240" w:lineRule="auto"/>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widowControl/>
        <w:numPr>
          <w:ilvl w:val="0"/>
          <w:numId w:val="0"/>
        </w:numPr>
        <w:kinsoku w:val="0"/>
        <w:autoSpaceDE w:val="0"/>
        <w:autoSpaceDN w:val="0"/>
        <w:adjustRightInd w:val="0"/>
        <w:snapToGrid w:val="0"/>
        <w:spacing w:before="217" w:beforeLines="50" w:line="240" w:lineRule="auto"/>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widowControl/>
        <w:numPr>
          <w:ilvl w:val="0"/>
          <w:numId w:val="0"/>
        </w:numPr>
        <w:kinsoku w:val="0"/>
        <w:autoSpaceDE w:val="0"/>
        <w:autoSpaceDN w:val="0"/>
        <w:adjustRightInd w:val="0"/>
        <w:snapToGrid w:val="0"/>
        <w:spacing w:before="217" w:beforeLines="50" w:line="240" w:lineRule="auto"/>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widowControl/>
        <w:numPr>
          <w:ilvl w:val="0"/>
          <w:numId w:val="0"/>
        </w:numPr>
        <w:kinsoku w:val="0"/>
        <w:autoSpaceDE w:val="0"/>
        <w:autoSpaceDN w:val="0"/>
        <w:adjustRightInd w:val="0"/>
        <w:snapToGrid w:val="0"/>
        <w:spacing w:before="217" w:beforeLines="50" w:line="240" w:lineRule="auto"/>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widowControl/>
        <w:numPr>
          <w:ilvl w:val="0"/>
          <w:numId w:val="0"/>
        </w:numPr>
        <w:kinsoku w:val="0"/>
        <w:autoSpaceDE w:val="0"/>
        <w:autoSpaceDN w:val="0"/>
        <w:adjustRightInd w:val="0"/>
        <w:snapToGrid w:val="0"/>
        <w:spacing w:before="217" w:beforeLines="50" w:line="240" w:lineRule="auto"/>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widowControl/>
        <w:numPr>
          <w:ilvl w:val="0"/>
          <w:numId w:val="0"/>
        </w:numPr>
        <w:kinsoku w:val="0"/>
        <w:autoSpaceDE w:val="0"/>
        <w:autoSpaceDN w:val="0"/>
        <w:adjustRightInd w:val="0"/>
        <w:snapToGrid w:val="0"/>
        <w:spacing w:before="217" w:beforeLines="50" w:line="240" w:lineRule="auto"/>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widowControl/>
        <w:numPr>
          <w:ilvl w:val="0"/>
          <w:numId w:val="0"/>
        </w:numPr>
        <w:kinsoku w:val="0"/>
        <w:autoSpaceDE w:val="0"/>
        <w:autoSpaceDN w:val="0"/>
        <w:adjustRightInd w:val="0"/>
        <w:snapToGrid w:val="0"/>
        <w:spacing w:before="217" w:beforeLines="50" w:line="240" w:lineRule="auto"/>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widowControl/>
        <w:numPr>
          <w:ilvl w:val="0"/>
          <w:numId w:val="0"/>
        </w:numPr>
        <w:kinsoku w:val="0"/>
        <w:autoSpaceDE w:val="0"/>
        <w:autoSpaceDN w:val="0"/>
        <w:adjustRightInd w:val="0"/>
        <w:snapToGrid w:val="0"/>
        <w:spacing w:before="217" w:beforeLines="50" w:line="240" w:lineRule="auto"/>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widowControl/>
        <w:numPr>
          <w:ilvl w:val="0"/>
          <w:numId w:val="0"/>
        </w:numPr>
        <w:kinsoku w:val="0"/>
        <w:autoSpaceDE w:val="0"/>
        <w:autoSpaceDN w:val="0"/>
        <w:adjustRightInd w:val="0"/>
        <w:snapToGrid w:val="0"/>
        <w:spacing w:before="217" w:beforeLines="50" w:line="240" w:lineRule="auto"/>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widowControl/>
        <w:numPr>
          <w:ilvl w:val="0"/>
          <w:numId w:val="0"/>
        </w:numPr>
        <w:kinsoku w:val="0"/>
        <w:autoSpaceDE w:val="0"/>
        <w:autoSpaceDN w:val="0"/>
        <w:adjustRightInd w:val="0"/>
        <w:snapToGrid w:val="0"/>
        <w:spacing w:before="217" w:beforeLines="50" w:line="240" w:lineRule="auto"/>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widowControl/>
        <w:numPr>
          <w:ilvl w:val="0"/>
          <w:numId w:val="0"/>
        </w:numPr>
        <w:kinsoku w:val="0"/>
        <w:autoSpaceDE w:val="0"/>
        <w:autoSpaceDN w:val="0"/>
        <w:adjustRightInd w:val="0"/>
        <w:snapToGrid w:val="0"/>
        <w:spacing w:before="217" w:beforeLines="50" w:line="240" w:lineRule="auto"/>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widowControl/>
        <w:numPr>
          <w:ilvl w:val="0"/>
          <w:numId w:val="0"/>
        </w:numPr>
        <w:kinsoku w:val="0"/>
        <w:autoSpaceDE w:val="0"/>
        <w:autoSpaceDN w:val="0"/>
        <w:adjustRightInd w:val="0"/>
        <w:snapToGrid w:val="0"/>
        <w:spacing w:before="217" w:beforeLines="50" w:line="240" w:lineRule="auto"/>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widowControl/>
        <w:numPr>
          <w:ilvl w:val="0"/>
          <w:numId w:val="0"/>
        </w:numPr>
        <w:kinsoku w:val="0"/>
        <w:autoSpaceDE w:val="0"/>
        <w:autoSpaceDN w:val="0"/>
        <w:adjustRightInd w:val="0"/>
        <w:snapToGrid w:val="0"/>
        <w:spacing w:before="217" w:beforeLines="50" w:line="240" w:lineRule="auto"/>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widowControl/>
        <w:numPr>
          <w:ilvl w:val="0"/>
          <w:numId w:val="0"/>
        </w:numPr>
        <w:kinsoku w:val="0"/>
        <w:autoSpaceDE w:val="0"/>
        <w:autoSpaceDN w:val="0"/>
        <w:adjustRightInd w:val="0"/>
        <w:snapToGrid w:val="0"/>
        <w:spacing w:before="217" w:beforeLines="50" w:line="240" w:lineRule="auto"/>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widowControl/>
        <w:numPr>
          <w:ilvl w:val="0"/>
          <w:numId w:val="0"/>
        </w:numPr>
        <w:kinsoku w:val="0"/>
        <w:autoSpaceDE w:val="0"/>
        <w:autoSpaceDN w:val="0"/>
        <w:adjustRightInd w:val="0"/>
        <w:snapToGrid w:val="0"/>
        <w:spacing w:before="217" w:beforeLines="50" w:line="240" w:lineRule="auto"/>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pStyle w:val="2"/>
        <w:tabs>
          <w:tab w:val="clear" w:pos="420"/>
        </w:tabs>
        <w:ind w:left="0" w:leftChars="0" w:firstLine="0" w:firstLineChars="0"/>
        <w:rPr>
          <w:rFonts w:hint="eastAsia" w:hAnsi="Times New Roman" w:cs="宋体"/>
        </w:rPr>
      </w:pPr>
      <w:bookmarkStart w:id="13" w:name="_Toc175304997"/>
      <w:r>
        <w:rPr>
          <w:rFonts w:hint="eastAsia" w:hAnsi="Times New Roman" w:cs="宋体"/>
        </w:rPr>
        <w:t>政策制度</w:t>
      </w:r>
      <w:bookmarkEnd w:id="13"/>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14" w:name="_Toc175304998"/>
      <w:r>
        <w:rPr>
          <w:rFonts w:hint="eastAsia" w:ascii="黑体" w:hAnsi="黑体" w:eastAsia="黑体" w:cs="黑体"/>
          <w:b w:val="0"/>
          <w:bCs w:val="0"/>
          <w:color w:val="000000"/>
          <w:sz w:val="28"/>
          <w:szCs w:val="28"/>
          <w:highlight w:val="none"/>
          <w:lang w:val="en-US" w:eastAsia="zh-CN"/>
        </w:rPr>
        <w:t>4.1 公司政策</w:t>
      </w:r>
      <w:bookmarkEnd w:id="14"/>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4.1.1 现行的环境、绿色金融相关内部政策</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color w:val="000000" w:themeColor="text1"/>
          <w:spacing w:val="6"/>
          <w:sz w:val="24"/>
          <w14:textFill>
            <w14:solidFill>
              <w14:schemeClr w14:val="tx1"/>
            </w14:solidFill>
          </w14:textFill>
        </w:rPr>
        <w:t>扬州农商</w:t>
      </w:r>
      <w:r>
        <w:rPr>
          <w:rFonts w:ascii="仿宋" w:hAnsi="仿宋" w:eastAsia="仿宋" w:cs="仿宋"/>
          <w:color w:val="000000" w:themeColor="text1"/>
          <w:spacing w:val="6"/>
          <w:sz w:val="24"/>
          <w14:textFill>
            <w14:solidFill>
              <w14:schemeClr w14:val="tx1"/>
            </w14:solidFill>
          </w14:textFill>
        </w:rPr>
        <w:t>银行</w:t>
      </w:r>
      <w:r>
        <w:rPr>
          <w:rFonts w:hint="eastAsia" w:ascii="仿宋" w:hAnsi="仿宋" w:eastAsia="仿宋" w:cs="仿宋"/>
          <w:snapToGrid w:val="0"/>
          <w:color w:val="000000" w:themeColor="text1"/>
          <w:spacing w:val="6"/>
          <w:kern w:val="0"/>
          <w:sz w:val="24"/>
          <w:szCs w:val="24"/>
          <w14:textFill>
            <w14:solidFill>
              <w14:schemeClr w14:val="tx1"/>
            </w14:solidFill>
          </w14:textFill>
        </w:rPr>
        <w:t>已制定并实施了多项与环境、绿色金融相关的内部政策，旨在推动绿色金融发展，加强环境风险管理。以下是部分主要政策及其概要：绿色信贷管理政策：本行建立了完善的绿色信贷管理制度，包括绿色信贷准入标准、审批流程、风险管理措施等，确保信贷资金优先投向环保、节能、清洁能源等绿色产业和项目。绿色信贷统计制度：为准确反映绿色信贷业务的发展情况，本行实施了绿色信贷统计制度，对绿色信贷余额、增长率、占比等关键指标进行定期统计和分析，为管理层决策提供数据支持。环境风险管理制度：本行制定了环境风险管理制度，明确了环境风险的识别、评估、监控和应对措施，确保业务运营符合环保法规要求，降低环境风险对业务的影响。</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4.1.2 报告期内实施的新政策</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highlight w:val="none"/>
          <w14:textFill>
            <w14:solidFill>
              <w14:schemeClr w14:val="tx1"/>
            </w14:solidFill>
          </w14:textFill>
        </w:rPr>
      </w:pPr>
      <w:r>
        <w:rPr>
          <w:rFonts w:hint="eastAsia" w:ascii="仿宋" w:hAnsi="仿宋" w:eastAsia="仿宋" w:cs="仿宋"/>
          <w:snapToGrid w:val="0"/>
          <w:color w:val="000000" w:themeColor="text1"/>
          <w:spacing w:val="6"/>
          <w:kern w:val="0"/>
          <w:sz w:val="24"/>
          <w:szCs w:val="24"/>
          <w:highlight w:val="none"/>
          <w:lang w:val="en-US" w:eastAsia="zh-CN"/>
          <w14:textFill>
            <w14:solidFill>
              <w14:schemeClr w14:val="tx1"/>
            </w14:solidFill>
          </w14:textFill>
        </w:rPr>
        <w:t>1</w:t>
      </w:r>
      <w:r>
        <w:rPr>
          <w:rFonts w:hint="eastAsia" w:ascii="仿宋" w:hAnsi="仿宋" w:eastAsia="仿宋" w:cs="仿宋"/>
          <w:snapToGrid w:val="0"/>
          <w:color w:val="000000" w:themeColor="text1"/>
          <w:spacing w:val="6"/>
          <w:kern w:val="0"/>
          <w:sz w:val="24"/>
          <w:szCs w:val="24"/>
          <w:highlight w:val="none"/>
          <w:lang w:eastAsia="zh-CN"/>
          <w14:textFill>
            <w14:solidFill>
              <w14:schemeClr w14:val="tx1"/>
            </w14:solidFill>
          </w14:textFill>
        </w:rPr>
        <w:t>）</w:t>
      </w:r>
      <w:r>
        <w:rPr>
          <w:rFonts w:hint="eastAsia" w:ascii="仿宋" w:hAnsi="仿宋" w:eastAsia="仿宋" w:cs="仿宋"/>
          <w:snapToGrid w:val="0"/>
          <w:color w:val="000000" w:themeColor="text1"/>
          <w:spacing w:val="6"/>
          <w:kern w:val="0"/>
          <w:sz w:val="24"/>
          <w:szCs w:val="24"/>
          <w:highlight w:val="none"/>
          <w14:textFill>
            <w14:solidFill>
              <w14:schemeClr w14:val="tx1"/>
            </w14:solidFill>
          </w14:textFill>
        </w:rPr>
        <w:t>加强绿色金融流程创新。一是结合</w:t>
      </w:r>
      <w:r>
        <w:rPr>
          <w:rFonts w:hint="eastAsia" w:ascii="仿宋" w:hAnsi="仿宋" w:eastAsia="仿宋" w:cs="仿宋"/>
          <w:snapToGrid w:val="0"/>
          <w:color w:val="000000" w:themeColor="text1"/>
          <w:spacing w:val="6"/>
          <w:kern w:val="0"/>
          <w:sz w:val="24"/>
          <w:szCs w:val="24"/>
          <w:highlight w:val="none"/>
          <w:lang w:eastAsia="zh-CN"/>
          <w14:textFill>
            <w14:solidFill>
              <w14:schemeClr w14:val="tx1"/>
            </w14:solidFill>
          </w14:textFill>
        </w:rPr>
        <w:t>本行</w:t>
      </w:r>
      <w:r>
        <w:rPr>
          <w:rFonts w:hint="eastAsia" w:ascii="仿宋" w:hAnsi="仿宋" w:eastAsia="仿宋" w:cs="仿宋"/>
          <w:snapToGrid w:val="0"/>
          <w:color w:val="000000" w:themeColor="text1"/>
          <w:spacing w:val="6"/>
          <w:kern w:val="0"/>
          <w:sz w:val="24"/>
          <w:szCs w:val="24"/>
          <w:highlight w:val="none"/>
          <w14:textFill>
            <w14:solidFill>
              <w14:schemeClr w14:val="tx1"/>
            </w14:solidFill>
          </w14:textFill>
        </w:rPr>
        <w:t>机械加工、服装鞋帽信贷投放占比高等客户特点，开发并落地针对上述企业节能改造、设备绿色升级的信贷产品，防范出现马太效应而造成银行行业集中度风险，逐步加大针对“循环产业园”客户的“园区保”、针对高新科技企业的“苏科贷”、针对种植业和养殖业的“惠农贷”等产品的创新，不断优化</w:t>
      </w:r>
      <w:r>
        <w:rPr>
          <w:rFonts w:hint="eastAsia" w:ascii="仿宋" w:hAnsi="仿宋" w:eastAsia="仿宋" w:cs="仿宋"/>
          <w:snapToGrid w:val="0"/>
          <w:color w:val="000000" w:themeColor="text1"/>
          <w:spacing w:val="6"/>
          <w:kern w:val="0"/>
          <w:sz w:val="24"/>
          <w:szCs w:val="24"/>
          <w:highlight w:val="none"/>
          <w:lang w:eastAsia="zh-CN"/>
          <w14:textFill>
            <w14:solidFill>
              <w14:schemeClr w14:val="tx1"/>
            </w14:solidFill>
          </w14:textFill>
        </w:rPr>
        <w:t>本行</w:t>
      </w:r>
      <w:r>
        <w:rPr>
          <w:rFonts w:hint="eastAsia" w:ascii="仿宋" w:hAnsi="仿宋" w:eastAsia="仿宋" w:cs="仿宋"/>
          <w:snapToGrid w:val="0"/>
          <w:color w:val="000000" w:themeColor="text1"/>
          <w:spacing w:val="6"/>
          <w:kern w:val="0"/>
          <w:sz w:val="24"/>
          <w:szCs w:val="24"/>
          <w:highlight w:val="none"/>
          <w14:textFill>
            <w14:solidFill>
              <w14:schemeClr w14:val="tx1"/>
            </w14:solidFill>
          </w14:textFill>
        </w:rPr>
        <w:t>的贷款结构，逐步形成支持绿色发展的良性、常态机制。二是通过金融科技手段，在绿色金融市场拓展、客户服务、流程管理、风险管理、信息披露等方面进行绿色银行与金融科技相结合的技术创新，借助绿色金融科技服务，迅速提升</w:t>
      </w:r>
      <w:r>
        <w:rPr>
          <w:rFonts w:hint="eastAsia" w:ascii="仿宋" w:hAnsi="仿宋" w:eastAsia="仿宋" w:cs="仿宋"/>
          <w:snapToGrid w:val="0"/>
          <w:color w:val="000000" w:themeColor="text1"/>
          <w:spacing w:val="6"/>
          <w:kern w:val="0"/>
          <w:sz w:val="24"/>
          <w:szCs w:val="24"/>
          <w:highlight w:val="none"/>
          <w:lang w:eastAsia="zh-CN"/>
          <w14:textFill>
            <w14:solidFill>
              <w14:schemeClr w14:val="tx1"/>
            </w14:solidFill>
          </w14:textFill>
        </w:rPr>
        <w:t>本行</w:t>
      </w:r>
      <w:r>
        <w:rPr>
          <w:rFonts w:hint="eastAsia" w:ascii="仿宋" w:hAnsi="仿宋" w:eastAsia="仿宋" w:cs="仿宋"/>
          <w:snapToGrid w:val="0"/>
          <w:color w:val="000000" w:themeColor="text1"/>
          <w:spacing w:val="6"/>
          <w:kern w:val="0"/>
          <w:sz w:val="24"/>
          <w:szCs w:val="24"/>
          <w:highlight w:val="none"/>
          <w14:textFill>
            <w14:solidFill>
              <w14:schemeClr w14:val="tx1"/>
            </w14:solidFill>
          </w14:textFill>
        </w:rPr>
        <w:t>绿色金融的专业能力。</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highlight w:val="none"/>
          <w:lang w:val="en-US" w:eastAsia="zh-CN"/>
          <w14:textFill>
            <w14:solidFill>
              <w14:schemeClr w14:val="tx1"/>
            </w14:solidFill>
          </w14:textFill>
        </w:rPr>
        <w:t>2</w:t>
      </w:r>
      <w:r>
        <w:rPr>
          <w:rFonts w:hint="eastAsia" w:ascii="仿宋" w:hAnsi="仿宋" w:eastAsia="仿宋" w:cs="仿宋"/>
          <w:snapToGrid w:val="0"/>
          <w:color w:val="000000" w:themeColor="text1"/>
          <w:spacing w:val="6"/>
          <w:kern w:val="0"/>
          <w:sz w:val="24"/>
          <w:szCs w:val="24"/>
          <w:highlight w:val="none"/>
          <w:lang w:eastAsia="zh-CN"/>
          <w14:textFill>
            <w14:solidFill>
              <w14:schemeClr w14:val="tx1"/>
            </w14:solidFill>
          </w14:textFill>
        </w:rPr>
        <w:t>）</w:t>
      </w:r>
      <w:r>
        <w:rPr>
          <w:rFonts w:hint="eastAsia" w:ascii="仿宋" w:hAnsi="仿宋" w:eastAsia="仿宋" w:cs="仿宋"/>
          <w:snapToGrid w:val="0"/>
          <w:color w:val="000000" w:themeColor="text1"/>
          <w:spacing w:val="6"/>
          <w:kern w:val="0"/>
          <w:sz w:val="24"/>
          <w:szCs w:val="24"/>
          <w:highlight w:val="none"/>
          <w14:textFill>
            <w14:solidFill>
              <w14:schemeClr w14:val="tx1"/>
            </w14:solidFill>
          </w14:textFill>
        </w:rPr>
        <w:t>完善绿</w:t>
      </w:r>
      <w:r>
        <w:rPr>
          <w:rFonts w:hint="eastAsia" w:ascii="仿宋" w:hAnsi="仿宋" w:eastAsia="仿宋" w:cs="仿宋"/>
          <w:snapToGrid w:val="0"/>
          <w:color w:val="000000" w:themeColor="text1"/>
          <w:spacing w:val="6"/>
          <w:kern w:val="0"/>
          <w:sz w:val="24"/>
          <w:szCs w:val="24"/>
          <w14:textFill>
            <w14:solidFill>
              <w14:schemeClr w14:val="tx1"/>
            </w14:solidFill>
          </w14:textFill>
        </w:rPr>
        <w:t>色金融尽职免责。将绿色信贷业务纳入尽职免责范围，提高绿色信贷不良容忍度，进一步推动信贷人员加大投放力度，充分发挥一线人员和授信审查审批人员的工作主动性和积极性。</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eastAsia" w:ascii="黑体" w:hAnsi="黑体" w:eastAsia="黑体" w:cs="黑体"/>
          <w:b w:val="0"/>
          <w:bCs w:val="0"/>
          <w:color w:val="000000"/>
          <w:sz w:val="28"/>
          <w:szCs w:val="28"/>
          <w:highlight w:val="none"/>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eastAsia" w:ascii="黑体" w:hAnsi="黑体" w:eastAsia="黑体" w:cs="黑体"/>
          <w:b w:val="0"/>
          <w:bCs w:val="0"/>
          <w:color w:val="000000"/>
          <w:sz w:val="28"/>
          <w:szCs w:val="28"/>
          <w:highlight w:val="none"/>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15" w:name="_Toc175304999"/>
      <w:r>
        <w:rPr>
          <w:rFonts w:hint="eastAsia" w:ascii="黑体" w:hAnsi="黑体" w:eastAsia="黑体" w:cs="黑体"/>
          <w:b w:val="0"/>
          <w:bCs w:val="0"/>
          <w:color w:val="000000"/>
          <w:sz w:val="28"/>
          <w:szCs w:val="28"/>
          <w:highlight w:val="none"/>
          <w:lang w:val="en-US" w:eastAsia="zh-CN"/>
        </w:rPr>
        <w:t>4.2 国内政策</w:t>
      </w:r>
      <w:bookmarkEnd w:id="15"/>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4.2.1 国家相关政策法规和标准</w:t>
      </w:r>
    </w:p>
    <w:p>
      <w:pPr>
        <w:widowControl/>
        <w:kinsoku w:val="0"/>
        <w:autoSpaceDE w:val="0"/>
        <w:autoSpaceDN w:val="0"/>
        <w:adjustRightInd w:val="0"/>
        <w:snapToGrid w:val="0"/>
        <w:spacing w:before="217" w:beforeLines="50" w:line="240" w:lineRule="auto"/>
        <w:ind w:left="0" w:leftChars="0" w:firstLine="504" w:firstLineChars="200"/>
        <w:textAlignment w:val="baseline"/>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cs="仿宋"/>
          <w:b w:val="0"/>
          <w:snapToGrid w:val="0"/>
          <w:color w:val="000000"/>
          <w:spacing w:val="6"/>
          <w:kern w:val="0"/>
          <w:sz w:val="24"/>
          <w:szCs w:val="24"/>
          <w:highlight w:val="none"/>
          <w:lang w:val="en-US" w:eastAsia="zh-CN" w:bidi="ar-SA"/>
        </w:rPr>
        <w:t>本行</w:t>
      </w:r>
      <w:r>
        <w:rPr>
          <w:rFonts w:hint="default" w:ascii="仿宋" w:hAnsi="仿宋" w:eastAsia="仿宋" w:cs="仿宋"/>
          <w:b w:val="0"/>
          <w:snapToGrid w:val="0"/>
          <w:color w:val="000000"/>
          <w:spacing w:val="6"/>
          <w:kern w:val="0"/>
          <w:sz w:val="24"/>
          <w:szCs w:val="24"/>
          <w:highlight w:val="none"/>
          <w:lang w:val="en-US" w:eastAsia="zh-CN" w:bidi="ar-SA"/>
        </w:rPr>
        <w:t>严格遵循《中华人民共和国节约能源法》</w:t>
      </w:r>
      <w:r>
        <w:rPr>
          <w:rFonts w:hint="eastAsia" w:ascii="仿宋" w:hAnsi="仿宋" w:eastAsia="仿宋" w:cs="仿宋"/>
          <w:b w:val="0"/>
          <w:snapToGrid w:val="0"/>
          <w:color w:val="000000"/>
          <w:spacing w:val="6"/>
          <w:kern w:val="0"/>
          <w:sz w:val="24"/>
          <w:szCs w:val="24"/>
          <w:highlight w:val="none"/>
          <w:lang w:val="en-US" w:eastAsia="zh-CN" w:bidi="ar-SA"/>
        </w:rPr>
        <w:t>、</w:t>
      </w:r>
      <w:r>
        <w:rPr>
          <w:rFonts w:hint="default" w:ascii="仿宋" w:hAnsi="仿宋" w:eastAsia="仿宋" w:cs="仿宋"/>
          <w:b w:val="0"/>
          <w:snapToGrid w:val="0"/>
          <w:color w:val="000000"/>
          <w:spacing w:val="6"/>
          <w:kern w:val="0"/>
          <w:sz w:val="24"/>
          <w:szCs w:val="24"/>
          <w:highlight w:val="none"/>
          <w:lang w:val="en-US" w:eastAsia="zh-CN" w:bidi="ar-SA"/>
        </w:rPr>
        <w:t>《中华人民共和国环境保护法》</w:t>
      </w:r>
      <w:r>
        <w:rPr>
          <w:rFonts w:hint="eastAsia" w:ascii="仿宋" w:hAnsi="仿宋" w:eastAsia="仿宋" w:cs="仿宋"/>
          <w:b w:val="0"/>
          <w:snapToGrid w:val="0"/>
          <w:color w:val="000000"/>
          <w:spacing w:val="6"/>
          <w:kern w:val="0"/>
          <w:sz w:val="24"/>
          <w:szCs w:val="24"/>
          <w:highlight w:val="none"/>
          <w:lang w:val="en-US" w:eastAsia="zh-CN" w:bidi="ar-SA"/>
        </w:rPr>
        <w:t>、</w:t>
      </w:r>
      <w:r>
        <w:rPr>
          <w:rFonts w:hint="default" w:ascii="仿宋" w:hAnsi="仿宋" w:eastAsia="仿宋" w:cs="仿宋"/>
          <w:b w:val="0"/>
          <w:snapToGrid w:val="0"/>
          <w:color w:val="000000"/>
          <w:spacing w:val="6"/>
          <w:kern w:val="0"/>
          <w:sz w:val="24"/>
          <w:szCs w:val="24"/>
          <w:highlight w:val="none"/>
          <w:lang w:val="en-US" w:eastAsia="zh-CN" w:bidi="ar-SA"/>
        </w:rPr>
        <w:t>《中华人民共和国固体废物污染环境防治法》</w:t>
      </w:r>
      <w:r>
        <w:rPr>
          <w:rFonts w:hint="eastAsia" w:ascii="仿宋" w:hAnsi="仿宋" w:eastAsia="仿宋" w:cs="仿宋"/>
          <w:b w:val="0"/>
          <w:snapToGrid w:val="0"/>
          <w:color w:val="000000"/>
          <w:spacing w:val="6"/>
          <w:kern w:val="0"/>
          <w:sz w:val="24"/>
          <w:szCs w:val="24"/>
          <w:highlight w:val="none"/>
          <w:lang w:val="en-US" w:eastAsia="zh-CN" w:bidi="ar-SA"/>
        </w:rPr>
        <w:t>、</w:t>
      </w:r>
      <w:r>
        <w:rPr>
          <w:rFonts w:hint="eastAsia" w:ascii="仿宋" w:hAnsi="仿宋" w:eastAsia="仿宋" w:cs="仿宋"/>
          <w:snapToGrid w:val="0"/>
          <w:color w:val="000000"/>
          <w:spacing w:val="6"/>
          <w:kern w:val="0"/>
          <w:sz w:val="24"/>
          <w:szCs w:val="24"/>
          <w:highlight w:val="none"/>
        </w:rPr>
        <w:t>《关于构建绿色金融体系的指导意见》、《金融业标准化体系建设发展规划（2016—2020年）》、《绿色信贷指引》 、《绿色信贷实施情况关键评价指标》、《关于建立绿色贷款专项统计制度的通知》、《绿色债券评估认证行为指引（暂行）》、《金融机构环境信息披露指南》、《金融机构碳核算技术指南（试行）》等绿色金融</w:t>
      </w:r>
      <w:r>
        <w:rPr>
          <w:rFonts w:hint="eastAsia" w:ascii="仿宋" w:hAnsi="仿宋" w:eastAsia="仿宋" w:cs="仿宋"/>
          <w:snapToGrid w:val="0"/>
          <w:color w:val="000000"/>
          <w:spacing w:val="6"/>
          <w:kern w:val="0"/>
          <w:sz w:val="24"/>
          <w:szCs w:val="24"/>
          <w:highlight w:val="none"/>
          <w:lang w:val="en-US" w:eastAsia="zh-CN"/>
        </w:rPr>
        <w:t>国家相关</w:t>
      </w:r>
      <w:r>
        <w:rPr>
          <w:rFonts w:hint="eastAsia" w:ascii="仿宋" w:hAnsi="仿宋" w:eastAsia="仿宋" w:cs="仿宋"/>
          <w:snapToGrid w:val="0"/>
          <w:color w:val="000000"/>
          <w:spacing w:val="6"/>
          <w:kern w:val="0"/>
          <w:sz w:val="24"/>
          <w:szCs w:val="24"/>
          <w:highlight w:val="none"/>
        </w:rPr>
        <w:t>政策</w:t>
      </w:r>
      <w:r>
        <w:rPr>
          <w:rFonts w:hint="eastAsia" w:ascii="仿宋" w:hAnsi="仿宋" w:eastAsia="仿宋" w:cs="仿宋"/>
          <w:snapToGrid w:val="0"/>
          <w:color w:val="000000"/>
          <w:spacing w:val="6"/>
          <w:kern w:val="0"/>
          <w:sz w:val="24"/>
          <w:szCs w:val="24"/>
          <w:highlight w:val="none"/>
          <w:lang w:val="en-US" w:eastAsia="zh-CN"/>
        </w:rPr>
        <w:t>法规和标准</w:t>
      </w:r>
      <w:r>
        <w:rPr>
          <w:rFonts w:hint="eastAsia" w:ascii="仿宋" w:hAnsi="仿宋" w:eastAsia="仿宋" w:cs="仿宋"/>
          <w:b w:val="0"/>
          <w:snapToGrid w:val="0"/>
          <w:color w:val="000000"/>
          <w:spacing w:val="6"/>
          <w:kern w:val="0"/>
          <w:sz w:val="24"/>
          <w:szCs w:val="24"/>
          <w:highlight w:val="none"/>
          <w:lang w:val="en-US" w:eastAsia="zh-CN" w:bidi="ar-SA"/>
        </w:rPr>
        <w:t>。</w:t>
      </w:r>
    </w:p>
    <w:p>
      <w:pPr>
        <w:widowControl/>
        <w:kinsoku w:val="0"/>
        <w:autoSpaceDE w:val="0"/>
        <w:autoSpaceDN w:val="0"/>
        <w:adjustRightInd w:val="0"/>
        <w:snapToGrid w:val="0"/>
        <w:spacing w:before="217" w:beforeLines="50" w:line="240" w:lineRule="auto"/>
        <w:ind w:left="0" w:leftChars="0" w:firstLine="504" w:firstLineChars="200"/>
        <w:textAlignment w:val="baseline"/>
        <w:rPr>
          <w:rFonts w:hint="default" w:ascii="仿宋" w:hAnsi="仿宋" w:eastAsia="仿宋" w:cs="仿宋"/>
          <w:b w:val="0"/>
          <w:snapToGrid w:val="0"/>
          <w:color w:val="000000"/>
          <w:spacing w:val="6"/>
          <w:kern w:val="0"/>
          <w:sz w:val="24"/>
          <w:szCs w:val="24"/>
          <w:highlight w:val="none"/>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4.2.2 地方相关政策法规和标准</w:t>
      </w:r>
    </w:p>
    <w:p>
      <w:pPr>
        <w:widowControl/>
        <w:kinsoku w:val="0"/>
        <w:autoSpaceDE w:val="0"/>
        <w:autoSpaceDN w:val="0"/>
        <w:adjustRightInd w:val="0"/>
        <w:snapToGrid w:val="0"/>
        <w:spacing w:before="217" w:beforeLines="50" w:line="240" w:lineRule="auto"/>
        <w:ind w:left="0" w:leftChars="0" w:firstLine="504" w:firstLineChars="200"/>
        <w:textAlignment w:val="baseline"/>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1）地方绿色金融政策：银行积极响应地方政府关于绿色金融发展的政策导向，结合本地实际情况，制定并实施了符合地方特色的绿色信贷政策和措施。银行通过参与地方政府组织的绿色金融培训和交流活动，提升对地方绿色金融政策的理解和把握能力，确保政策得到有效执行。</w:t>
      </w:r>
    </w:p>
    <w:p>
      <w:pPr>
        <w:widowControl/>
        <w:kinsoku w:val="0"/>
        <w:autoSpaceDE w:val="0"/>
        <w:autoSpaceDN w:val="0"/>
        <w:adjustRightInd w:val="0"/>
        <w:snapToGrid w:val="0"/>
        <w:spacing w:before="217" w:beforeLines="50" w:line="240" w:lineRule="auto"/>
        <w:ind w:left="0" w:leftChars="0" w:firstLine="504" w:firstLineChars="200"/>
        <w:textAlignment w:val="baseline"/>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 xml:space="preserve">2）地方环保法规和标准：银行严格遵守地方政府发布的环境保护法规和标准，如关于大气污染防治、水资源保护等方面的规定，将环保要求纳入信贷业务管理流程。银行加强对地方环保政策的跟踪和研究，及时调整信贷政策和审批标准，确保信贷业务与地方环保法规和标准相一致。 </w:t>
      </w:r>
    </w:p>
    <w:p>
      <w:pPr>
        <w:widowControl/>
        <w:kinsoku w:val="0"/>
        <w:autoSpaceDE w:val="0"/>
        <w:autoSpaceDN w:val="0"/>
        <w:adjustRightInd w:val="0"/>
        <w:snapToGrid w:val="0"/>
        <w:spacing w:before="217" w:beforeLines="50" w:line="240" w:lineRule="auto"/>
        <w:ind w:left="0" w:leftChars="0" w:firstLine="504" w:firstLineChars="200"/>
        <w:textAlignment w:val="baseline"/>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 xml:space="preserve">3）地方碳达峰、碳中和政策：银行积极响应地方政府关于碳达峰、碳中和的战略部署，制定并实施相关政策和措施，支持本地清洁能源、节能减排等绿色项目的发展。银行通过参与地方政府组织的碳减排项目和合作，推动自身运营和业务的绿色低碳转型，为实现地方碳中和目标贡献力量。 </w:t>
      </w:r>
    </w:p>
    <w:p>
      <w:pPr>
        <w:widowControl/>
        <w:kinsoku w:val="0"/>
        <w:autoSpaceDE w:val="0"/>
        <w:autoSpaceDN w:val="0"/>
        <w:adjustRightInd w:val="0"/>
        <w:snapToGrid w:val="0"/>
        <w:spacing w:before="217" w:beforeLines="50" w:line="240" w:lineRule="auto"/>
        <w:ind w:left="0" w:leftChars="0" w:firstLine="504" w:firstLineChars="200"/>
        <w:textAlignment w:val="baseline"/>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本行通过加强与地方政府和相关部门的沟通协调，及时了解政策动态和要求，确保绿色金融和环境保护政策得到有效贯彻落实。通过银行内部宣传和专项培训，提升本行员工对地方绿色金融和环保政策的认识和理解，增强全员环保意识和责任感。</w:t>
      </w:r>
    </w:p>
    <w:p>
      <w:pPr>
        <w:widowControl/>
        <w:kinsoku w:val="0"/>
        <w:autoSpaceDE w:val="0"/>
        <w:autoSpaceDN w:val="0"/>
        <w:adjustRightInd w:val="0"/>
        <w:snapToGrid w:val="0"/>
        <w:spacing w:before="217" w:beforeLines="50" w:line="240" w:lineRule="auto"/>
        <w:ind w:left="0" w:leftChars="0" w:firstLine="504" w:firstLineChars="200"/>
        <w:textAlignment w:val="baseline"/>
        <w:rPr>
          <w:rFonts w:hint="eastAsia" w:ascii="仿宋" w:hAnsi="仿宋" w:eastAsia="仿宋" w:cs="仿宋"/>
          <w:b w:val="0"/>
          <w:snapToGrid w:val="0"/>
          <w:color w:val="000000"/>
          <w:spacing w:val="6"/>
          <w:kern w:val="0"/>
          <w:sz w:val="24"/>
          <w:szCs w:val="24"/>
          <w:highlight w:val="none"/>
          <w:lang w:val="en-US" w:eastAsia="zh-CN" w:bidi="ar-SA"/>
        </w:rPr>
      </w:pPr>
    </w:p>
    <w:p>
      <w:pPr>
        <w:widowControl/>
        <w:kinsoku w:val="0"/>
        <w:autoSpaceDE w:val="0"/>
        <w:autoSpaceDN w:val="0"/>
        <w:adjustRightInd w:val="0"/>
        <w:snapToGrid w:val="0"/>
        <w:spacing w:before="217" w:beforeLines="50" w:line="240" w:lineRule="auto"/>
        <w:ind w:left="0" w:leftChars="0" w:firstLine="504" w:firstLineChars="200"/>
        <w:textAlignment w:val="baseline"/>
        <w:rPr>
          <w:rFonts w:hint="eastAsia" w:ascii="仿宋" w:hAnsi="仿宋" w:eastAsia="仿宋" w:cs="仿宋"/>
          <w:b w:val="0"/>
          <w:snapToGrid w:val="0"/>
          <w:color w:val="000000"/>
          <w:spacing w:val="6"/>
          <w:kern w:val="0"/>
          <w:sz w:val="24"/>
          <w:szCs w:val="24"/>
          <w:highlight w:val="none"/>
          <w:lang w:val="en-US" w:eastAsia="zh-CN" w:bidi="ar-SA"/>
        </w:rPr>
      </w:pPr>
    </w:p>
    <w:p>
      <w:pPr>
        <w:widowControl/>
        <w:kinsoku w:val="0"/>
        <w:autoSpaceDE w:val="0"/>
        <w:autoSpaceDN w:val="0"/>
        <w:adjustRightInd w:val="0"/>
        <w:snapToGrid w:val="0"/>
        <w:spacing w:before="217" w:beforeLines="50" w:line="240" w:lineRule="auto"/>
        <w:ind w:left="0" w:leftChars="0" w:firstLine="504" w:firstLineChars="200"/>
        <w:textAlignment w:val="baseline"/>
        <w:rPr>
          <w:rFonts w:hint="eastAsia" w:ascii="仿宋" w:hAnsi="仿宋" w:eastAsia="仿宋" w:cs="仿宋"/>
          <w:b w:val="0"/>
          <w:snapToGrid w:val="0"/>
          <w:color w:val="000000"/>
          <w:spacing w:val="6"/>
          <w:kern w:val="0"/>
          <w:sz w:val="24"/>
          <w:szCs w:val="24"/>
          <w:highlight w:val="none"/>
          <w:lang w:val="en-US" w:eastAsia="zh-CN" w:bidi="ar-SA"/>
        </w:rPr>
      </w:pPr>
    </w:p>
    <w:p>
      <w:pPr>
        <w:widowControl/>
        <w:kinsoku w:val="0"/>
        <w:autoSpaceDE w:val="0"/>
        <w:autoSpaceDN w:val="0"/>
        <w:adjustRightInd w:val="0"/>
        <w:snapToGrid w:val="0"/>
        <w:spacing w:before="217" w:beforeLines="50" w:line="240" w:lineRule="auto"/>
        <w:ind w:left="0" w:leftChars="0" w:firstLine="504" w:firstLineChars="200"/>
        <w:textAlignment w:val="baseline"/>
        <w:rPr>
          <w:rFonts w:hint="eastAsia" w:ascii="仿宋" w:hAnsi="仿宋" w:eastAsia="仿宋" w:cs="仿宋"/>
          <w:b w:val="0"/>
          <w:snapToGrid w:val="0"/>
          <w:color w:val="000000"/>
          <w:spacing w:val="6"/>
          <w:kern w:val="0"/>
          <w:sz w:val="24"/>
          <w:szCs w:val="24"/>
          <w:highlight w:val="none"/>
          <w:lang w:val="en-US" w:eastAsia="zh-CN" w:bidi="ar-SA"/>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16" w:name="_Toc175305000"/>
      <w:r>
        <w:rPr>
          <w:rFonts w:hint="eastAsia" w:ascii="黑体" w:hAnsi="黑体" w:eastAsia="黑体" w:cs="黑体"/>
          <w:b w:val="0"/>
          <w:bCs w:val="0"/>
          <w:color w:val="000000"/>
          <w:sz w:val="28"/>
          <w:szCs w:val="28"/>
          <w:highlight w:val="none"/>
          <w:lang w:val="en-US" w:eastAsia="zh-CN"/>
        </w:rPr>
        <w:t>4.3 国际标准</w:t>
      </w:r>
      <w:bookmarkEnd w:id="16"/>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4.3.1 采纳国际公约、框架、倡议</w:t>
      </w:r>
    </w:p>
    <w:p>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color w:val="000000" w:themeColor="text1"/>
          <w:spacing w:val="6"/>
          <w:sz w:val="24"/>
          <w:lang w:val="en-US" w:eastAsia="zh-CN"/>
          <w14:textFill>
            <w14:solidFill>
              <w14:schemeClr w14:val="tx1"/>
            </w14:solidFill>
          </w14:textFill>
        </w:rPr>
        <w:t>本</w:t>
      </w:r>
      <w:r>
        <w:rPr>
          <w:rFonts w:ascii="仿宋" w:hAnsi="仿宋" w:eastAsia="仿宋" w:cs="仿宋"/>
          <w:color w:val="000000" w:themeColor="text1"/>
          <w:spacing w:val="6"/>
          <w:sz w:val="24"/>
          <w14:textFill>
            <w14:solidFill>
              <w14:schemeClr w14:val="tx1"/>
            </w14:solidFill>
          </w14:textFill>
        </w:rPr>
        <w:t>行</w:t>
      </w:r>
      <w:r>
        <w:rPr>
          <w:rFonts w:hint="eastAsia" w:ascii="仿宋" w:hAnsi="仿宋" w:eastAsia="仿宋" w:cs="仿宋"/>
          <w:snapToGrid w:val="0"/>
          <w:color w:val="000000" w:themeColor="text1"/>
          <w:spacing w:val="6"/>
          <w:kern w:val="0"/>
          <w:sz w:val="24"/>
          <w:szCs w:val="24"/>
          <w14:textFill>
            <w14:solidFill>
              <w14:schemeClr w14:val="tx1"/>
            </w14:solidFill>
          </w14:textFill>
        </w:rPr>
        <w:t>在绿色金融领域采纳多项国际公约、框架和倡议：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1）巴黎气候协定：本行积极响应全球应对气候变化的行动，通过绿色金融手段支持低碳转型和可持续发展。遵循《巴黎气候协定》的目标和原则，该协定以遏制全球变暖为核心，旨在将全球气温升幅控制在比工业革命前高2°C以内，这被视为遏制全球气候变暖严重影响的“最低要求”。</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2）碳核算金融联盟（PCAF）：本行金融碳核算遵循PCAF《金融行业温室气体核算和披露全球性标准》中核算和披露的五项基本原则。碳核算金融联盟（PCAF）是一项由金融行业主导的全球性碳核算项目，致力于协调金融机构衡量和披露其投资的温室气体排放量。其目标是推动金融领域的碳排放核算和披露标准化，并协助金融部门与《巴黎气候协议》保持一致。</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ascii="微软雅黑" w:hAnsi="微软雅黑" w:eastAsia="微软雅黑" w:cs="微软雅黑"/>
          <w:b/>
          <w:bCs/>
          <w:color w:val="000000" w:themeColor="text1"/>
          <w:sz w:val="24"/>
          <w:szCs w:val="24"/>
          <w14:textFill>
            <w14:solidFill>
              <w14:schemeClr w14:val="tx1"/>
            </w14:solidFill>
          </w14:textFill>
        </w:rPr>
      </w:pPr>
      <w:r>
        <w:rPr>
          <w:rFonts w:hint="eastAsia" w:ascii="仿宋" w:hAnsi="仿宋" w:eastAsia="仿宋" w:cs="仿宋"/>
          <w:b w:val="0"/>
          <w:snapToGrid w:val="0"/>
          <w:color w:val="000000"/>
          <w:spacing w:val="6"/>
          <w:kern w:val="0"/>
          <w:sz w:val="24"/>
          <w:szCs w:val="24"/>
          <w:highlight w:val="none"/>
          <w:lang w:val="en-US" w:eastAsia="zh-CN" w:bidi="ar-SA"/>
        </w:rPr>
        <w:t>3）国际可持续准则理事会（ISSB）：本行环境信息披露报告编制参照国际可持续准则理事会（ISSB）《国际财务报告可持续披露准则第1号——可持续相关财务信息披露一般要求》《国际财务报告可持续披露准则第2号—</w:t>
      </w:r>
      <w:r>
        <w:rPr>
          <w:rFonts w:hint="eastAsia" w:ascii="仿宋" w:hAnsi="仿宋" w:eastAsia="仿宋" w:cs="仿宋"/>
          <w:snapToGrid w:val="0"/>
          <w:color w:val="000000" w:themeColor="text1"/>
          <w:spacing w:val="6"/>
          <w:kern w:val="0"/>
          <w:sz w:val="24"/>
          <w:szCs w:val="24"/>
          <w14:textFill>
            <w14:solidFill>
              <w14:schemeClr w14:val="tx1"/>
            </w14:solidFill>
          </w14:textFill>
        </w:rPr>
        <w:t>—气候相关披露》，提升气候相关财务信息披露的透明度和规范性，加强气候风险评估和管理，为利益相关方提供更为全面和准确的气候相关信息。</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4.3.2 加入国际倡议组织</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color w:val="000000" w:themeColor="text1"/>
          <w:spacing w:val="6"/>
          <w:sz w:val="24"/>
          <w:lang w:val="en-US" w:eastAsia="zh-CN"/>
          <w14:textFill>
            <w14:solidFill>
              <w14:schemeClr w14:val="tx1"/>
            </w14:solidFill>
          </w14:textFill>
        </w:rPr>
        <w:sectPr>
          <w:footerReference r:id="rId15" w:type="default"/>
          <w:pgSz w:w="11906" w:h="16838"/>
          <w:pgMar w:top="1440" w:right="1800" w:bottom="1440" w:left="1800" w:header="851" w:footer="992" w:gutter="0"/>
          <w:pgNumType w:fmt="decimal"/>
          <w:cols w:space="720" w:num="1"/>
          <w:docGrid w:type="lines" w:linePitch="435" w:charSpace="0"/>
        </w:sectPr>
      </w:pPr>
      <w:r>
        <w:rPr>
          <w:rFonts w:hint="eastAsia" w:ascii="仿宋" w:hAnsi="仿宋" w:eastAsia="仿宋" w:cs="仿宋"/>
          <w:color w:val="000000" w:themeColor="text1"/>
          <w:spacing w:val="6"/>
          <w:sz w:val="24"/>
          <w:lang w:val="en-US" w:eastAsia="zh-CN"/>
          <w14:textFill>
            <w14:solidFill>
              <w14:schemeClr w14:val="tx1"/>
            </w14:solidFill>
          </w14:textFill>
        </w:rPr>
        <w:t>报告期内本行暂未加入气候投融资相关国际倡议组织。</w:t>
      </w:r>
    </w:p>
    <w:p>
      <w:pPr>
        <w:pStyle w:val="2"/>
        <w:tabs>
          <w:tab w:val="clear" w:pos="420"/>
        </w:tabs>
        <w:ind w:left="0" w:leftChars="0" w:firstLine="0" w:firstLineChars="0"/>
        <w:rPr>
          <w:rFonts w:hint="eastAsia" w:hAnsi="Times New Roman" w:cs="宋体"/>
        </w:rPr>
      </w:pPr>
      <w:bookmarkStart w:id="17" w:name="_Toc175305001"/>
      <w:r>
        <w:rPr>
          <w:rFonts w:hint="eastAsia" w:hAnsi="Times New Roman" w:cs="宋体"/>
        </w:rPr>
        <w:t>环境管理</w:t>
      </w:r>
      <w:bookmarkEnd w:id="17"/>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18" w:name="_Toc175305002"/>
      <w:r>
        <w:rPr>
          <w:rFonts w:hint="eastAsia" w:ascii="黑体" w:hAnsi="黑体" w:eastAsia="黑体" w:cs="黑体"/>
          <w:b w:val="0"/>
          <w:bCs w:val="0"/>
          <w:color w:val="000000"/>
          <w:sz w:val="28"/>
          <w:szCs w:val="28"/>
          <w:highlight w:val="none"/>
          <w:lang w:val="en-US" w:eastAsia="zh-CN"/>
        </w:rPr>
        <w:t>5.1 环境风险、机遇及应对措施</w:t>
      </w:r>
      <w:bookmarkEnd w:id="18"/>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5.1.1环境风险、机遇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1）短期环境风险、机遇：物理风险如极端天气事件导致的资产损失，转型风险如国际供应链中断。本行将通过环境风险量化分析，将企业受环境相关政策、自身环评情况等因素纳入企业内部信用评级变动考量，评估不同情景下信贷资产质量的影响程度。在信贷业务中，加强对客户环保依法合规情况的调查，通过风险预警系统对存在环保问题的客户进行预警提示，并采取有针对性地控制或缓释措施。实行环保一票否决制，限制准入“两高一剩”或环保不达标的企业，对存量不符合环保标准的客户坚决退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2）中期环境风险、机遇：物理风险如水资源和食物安全变化带来的经营风险，转型风险如欧盟碳关税征收、碳市场价格大幅波动。本行优先支持节能降碳产业、环境保护产业、资源循环利用产业、清洁能源产业、生态保护修复和利用、基础设施绿色升级、绿色服务等七大绿色产业，同时加大对传统行业节能降碳减排活动的资金支持，快速响应绿色融资主体和转型融资主体的可持续发展融资需求。</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3）长期环境风险、机遇：气候变化导致的海平面上升、持续高温等，影响公司运营和资产价值。本行设定碳中和远景目标，明确绿色金融发展目标、任务和措施，推动绿色金融业务的长期可持续发展。推动本行自身运营的绿色低碳转型，如建设零碳银行网点、绿色数据中心、百分百绿色电力消费等，持续降低本行自身运营的环境影响，提升投融资的环境效益。</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5.1.2应对措施和预案：</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1）完善风险管理体系：本行建立全面的环境风险管理体系，包括风险识别、评估、监控和报告等环节，确保环境风险得到有效控制。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2）强化内部风险控制：本行通过制定和完善相关内控制度和流程，加强环境风险的内部控制和监督。实施风险敞口管理制度，开展信贷政策指引情况跟踪审计。</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3）建立应急预案：本行建立专职应急领导小组负责环境风险的应急管理和处置。针对可能发生的重大环境风险事件，制定应急预案和处置程序，确保能够迅速、有效地应对和处置环境风险。</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4）加强沟通与协作：本行加强与地方政府、监管部门、环保组织等利益相关方的沟通与协作，共同应对环境风险挑战。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5）定期演练和培训：本行定期组织环境风险主题培训活动，提升全体员工的环境风险识别意识和防控应对能力。</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19" w:name="_Toc175305003"/>
      <w:r>
        <w:rPr>
          <w:rFonts w:hint="eastAsia" w:ascii="黑体" w:hAnsi="黑体" w:eastAsia="黑体" w:cs="黑体"/>
          <w:b w:val="0"/>
          <w:bCs w:val="0"/>
          <w:color w:val="000000"/>
          <w:sz w:val="28"/>
          <w:szCs w:val="28"/>
          <w:highlight w:val="none"/>
          <w:lang w:val="en-US" w:eastAsia="zh-CN"/>
        </w:rPr>
        <w:t>5.2 利益相关方环境议题</w:t>
      </w:r>
      <w:bookmarkEnd w:id="19"/>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5.2.1识别机制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1）利益相关方调查：本行通过在线问卷调查、线下座谈会等活动方式收集股东、客户、监管机构、社区、管理层与员工、债权人、合作伙伴等利益相关方的意见和建议，识别其关注的环境相关重大议题。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2）市场与环境分析：本行定期分析市场和行业趋势，关注环境政策、法规和标准的变化，以及市场对绿色金融产品和服务的需求变化。</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3）内部审查：本行通过内部审查和主题讨论，结合银行自身的业务特点和环境风险状况，及时识别潜在的环境风险点和市场机遇。</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5.2.2评估方法</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 xml:space="preserve">1）环境影响评估：本行对投融资项目进行全面的环境影响评估，包括直接环境影响和间接环境影响，以及长期和短期的环境影响。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2）风险与收益分析：本行在投融资决策过程中，进行环境风险与收益的综合分析，确保气候投融资相关决策的科学性和合理性。</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3）优先级排序：本行根据环境议题的重要性和紧迫性，对各项议题进行优先级排序，确保资源得到合理配置。</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5.2.3管理方针</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1）承诺与目标：本行承诺在绿色金融领域持续努力积极应对环境风险挑战，逐步设定明确的绿色发展目标，包括不限于自身经营碳减排目标、投融资碳排放总量和强度控制目标、绿色资产碳减排和环境效益目标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2）透明与沟通：本行通过环境信息披露报告、ESG报告、年度报告、官方网站等渠道，及时向利益相关方披露环境风险管理情况和转型成效，加强与利益相关方的沟通和信息透明度，回应利益相关方的关切和期望。</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r>
        <w:rPr>
          <w:rFonts w:hint="eastAsia" w:ascii="仿宋" w:hAnsi="仿宋" w:eastAsia="仿宋" w:cs="仿宋"/>
          <w:b w:val="0"/>
          <w:snapToGrid w:val="0"/>
          <w:color w:val="000000"/>
          <w:spacing w:val="6"/>
          <w:kern w:val="0"/>
          <w:sz w:val="24"/>
          <w:szCs w:val="24"/>
          <w:highlight w:val="none"/>
          <w:lang w:val="en-US" w:eastAsia="zh-CN" w:bidi="ar-SA"/>
        </w:rPr>
        <w:t>3）持续改进：建立利益相关方环境议题持续改进机制，不断优化本行环境风险管理流程和改进措施，提升整体环境绩效。与利益相关各方共同推动可持续发展目标的实现。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firstLine="504" w:firstLineChars="200"/>
        <w:textAlignment w:val="baseline"/>
        <w:outlineLvl w:val="1"/>
        <w:rPr>
          <w:rFonts w:hint="eastAsia" w:ascii="仿宋" w:hAnsi="仿宋" w:eastAsia="仿宋" w:cs="仿宋"/>
          <w:b w:val="0"/>
          <w:snapToGrid w:val="0"/>
          <w:color w:val="000000"/>
          <w:spacing w:val="6"/>
          <w:kern w:val="0"/>
          <w:sz w:val="24"/>
          <w:szCs w:val="24"/>
          <w:highlight w:val="none"/>
          <w:lang w:val="en-US" w:eastAsia="zh-CN" w:bidi="ar-SA"/>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eastAsia" w:ascii="黑体" w:hAnsi="黑体" w:eastAsia="黑体" w:cs="黑体"/>
          <w:b w:val="0"/>
          <w:bCs w:val="0"/>
          <w:color w:val="000000"/>
          <w:sz w:val="28"/>
          <w:szCs w:val="28"/>
          <w:highlight w:val="none"/>
          <w:lang w:val="en-US" w:eastAsia="zh-CN"/>
        </w:rPr>
      </w:pPr>
      <w:bookmarkStart w:id="20" w:name="_Toc175305004"/>
      <w:r>
        <w:rPr>
          <w:rFonts w:hint="eastAsia" w:ascii="黑体" w:hAnsi="黑体" w:eastAsia="黑体" w:cs="黑体"/>
          <w:b w:val="0"/>
          <w:bCs w:val="0"/>
          <w:color w:val="000000"/>
          <w:sz w:val="28"/>
          <w:szCs w:val="28"/>
          <w:highlight w:val="none"/>
          <w:lang w:val="en-US" w:eastAsia="zh-CN"/>
        </w:rPr>
        <w:t>5.3 情景分析与压力测试</w:t>
      </w:r>
      <w:bookmarkEnd w:id="20"/>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全球的央行与监管机构正在形成一个新的共识，即环境风险（涵盖与环境和气候相关的风险）已经成为金融风险的重大来源之一，环境和气候因素可能会演化为金融机构所面临的金融风险，也可能会对金融稳定构成系统性的威胁。本行在气候风险情景分析与压力测试方面还处于理论研究阶段，以下是本行对气候风险情景分析与压力测试采用的理论模型的提炼：</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5.3.1 情景分析</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本行开展情景分析研究工作。前瞻性气候风险评估的基础是设计一个或一组情景，且这些情景最能符合关于气候、社会和经济的一些假设，其中的核心假设是全球气温目标或排放路径。央行绿色金融网络（NGFS）发布《金融机构环境风险分析综述》和《案例集》，情景开发方面的新进展是发布了NGFS三大情景：i.有序转型（气温升幅控制在1.5-2°C）；ii.无序转型（气温升幅控制在1.5-2°C）；iii.热室世界（仅实施当前政策）。</w:t>
      </w:r>
    </w:p>
    <w:p>
      <w:pPr>
        <w:widowControl/>
        <w:kinsoku w:val="0"/>
        <w:autoSpaceDE w:val="0"/>
        <w:autoSpaceDN w:val="0"/>
        <w:adjustRightInd w:val="0"/>
        <w:snapToGrid w:val="0"/>
        <w:spacing w:before="217" w:beforeLines="50" w:line="240" w:lineRule="auto"/>
        <w:ind w:left="0" w:leftChars="0" w:firstLine="0" w:firstLineChars="0"/>
        <w:textAlignment w:val="baseline"/>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drawing>
          <wp:inline distT="0" distB="0" distL="114300" distR="114300">
            <wp:extent cx="5269865" cy="1934210"/>
            <wp:effectExtent l="0" t="0" r="13335" b="2159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28"/>
                    <a:srcRect t="14404" b="3270"/>
                    <a:stretch>
                      <a:fillRect/>
                    </a:stretch>
                  </pic:blipFill>
                  <pic:spPr>
                    <a:xfrm>
                      <a:off x="0" y="0"/>
                      <a:ext cx="5269865" cy="1934210"/>
                    </a:xfrm>
                    <a:prstGeom prst="rect">
                      <a:avLst/>
                    </a:prstGeom>
                    <a:noFill/>
                    <a:ln>
                      <a:noFill/>
                    </a:ln>
                  </pic:spPr>
                </pic:pic>
              </a:graphicData>
            </a:graphic>
          </wp:inline>
        </w:drawing>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5.3.2 压力测试</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本行正在开展气候风险压力测试研究，拟考察四种物理风险（高低温、台风、干旱、暴雨）分别对应气温、台风、蒸发量、降水量数据，三种转型风险（能源转型、节能降碳、碳贸易），并据此构建指标体系。</w:t>
      </w:r>
    </w:p>
    <w:p>
      <w:pPr>
        <w:widowControl/>
        <w:kinsoku w:val="0"/>
        <w:autoSpaceDE w:val="0"/>
        <w:autoSpaceDN w:val="0"/>
        <w:adjustRightInd w:val="0"/>
        <w:snapToGrid w:val="0"/>
        <w:spacing w:before="217" w:beforeLines="50" w:line="240" w:lineRule="auto"/>
        <w:ind w:firstLine="504"/>
        <w:textAlignment w:val="baseline"/>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pP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本行拟在2025年，以气候数据和企业碳排放数据为基础，选择本行重点投放高碳行业开展气候风险压力测试。</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br w:type="page"/>
      </w:r>
    </w:p>
    <w:p>
      <w:pPr>
        <w:pStyle w:val="2"/>
        <w:tabs>
          <w:tab w:val="clear" w:pos="420"/>
        </w:tabs>
        <w:ind w:left="0" w:leftChars="0" w:firstLine="0" w:firstLineChars="0"/>
        <w:rPr>
          <w:rFonts w:hint="eastAsia" w:hAnsi="Times New Roman" w:cs="宋体"/>
        </w:rPr>
      </w:pPr>
      <w:bookmarkStart w:id="21" w:name="_Toc175305005"/>
      <w:r>
        <w:rPr>
          <w:rFonts w:hint="eastAsia" w:hAnsi="Times New Roman" w:cs="宋体"/>
        </w:rPr>
        <w:t>自身经营的环境影响</w:t>
      </w:r>
      <w:bookmarkEnd w:id="21"/>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22" w:name="_Toc175305006"/>
      <w:r>
        <w:rPr>
          <w:rFonts w:hint="eastAsia" w:ascii="黑体" w:hAnsi="黑体" w:eastAsia="黑体" w:cs="黑体"/>
          <w:b w:val="0"/>
          <w:bCs w:val="0"/>
          <w:color w:val="000000"/>
          <w:sz w:val="28"/>
          <w:szCs w:val="28"/>
          <w:highlight w:val="none"/>
          <w:lang w:val="en-US" w:eastAsia="zh-CN"/>
        </w:rPr>
        <w:t>6.1 自身经营的能源和资源消耗</w:t>
      </w:r>
      <w:bookmarkEnd w:id="22"/>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6.1.1 直接能源消耗的化石燃料</w:t>
      </w:r>
    </w:p>
    <w:p>
      <w:pPr>
        <w:widowControl/>
        <w:kinsoku w:val="0"/>
        <w:autoSpaceDE w:val="0"/>
        <w:autoSpaceDN w:val="0"/>
        <w:adjustRightInd w:val="0"/>
        <w:snapToGrid w:val="0"/>
        <w:spacing w:before="217" w:beforeLines="50" w:line="240" w:lineRule="auto"/>
        <w:ind w:firstLine="504"/>
        <w:textAlignment w:val="baseline"/>
        <w:rPr>
          <w:color w:val="000000" w:themeColor="text1"/>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报告年度内本行自身经营的直接能源消耗的化石燃料情况如下：营业办公（含固定源、移动源）天然气</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color w:val="000000"/>
          <w:spacing w:val="6"/>
          <w:sz w:val="24"/>
          <w:u w:val="single" w:color="auto"/>
        </w:rPr>
        <w:t xml:space="preserve">4.87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万</w:t>
      </w:r>
      <w:r>
        <w:rPr>
          <w:rFonts w:hint="eastAsia" w:ascii="宋体" w:hAnsi="宋体" w:eastAsia="宋体"/>
          <w:b w:val="0"/>
          <w:bCs/>
          <w:color w:val="000000" w:themeColor="text1"/>
          <w:kern w:val="0"/>
          <w:sz w:val="24"/>
          <w:szCs w:val="24"/>
          <w14:textFill>
            <w14:solidFill>
              <w14:schemeClr w14:val="tx1"/>
            </w14:solidFill>
          </w14:textFill>
        </w:rPr>
        <w:t>Nm</w:t>
      </w:r>
      <w:r>
        <w:rPr>
          <w:rFonts w:hint="eastAsia" w:ascii="宋体" w:hAnsi="宋体" w:eastAsia="宋体"/>
          <w:b w:val="0"/>
          <w:bCs/>
          <w:color w:val="000000" w:themeColor="text1"/>
          <w:kern w:val="0"/>
          <w:sz w:val="24"/>
          <w:szCs w:val="24"/>
          <w:vertAlign w:val="superscript"/>
          <w14:textFill>
            <w14:solidFill>
              <w14:schemeClr w14:val="tx1"/>
            </w14:solidFill>
          </w14:textFill>
        </w:rPr>
        <w:t>3</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（万立方米）、汽油消耗</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color w:val="000000"/>
          <w:spacing w:val="6"/>
          <w:sz w:val="24"/>
          <w:u w:val="single" w:color="auto"/>
        </w:rPr>
        <w:t xml:space="preserve">23 </w:t>
      </w:r>
      <w:r>
        <w:rPr>
          <w:rFonts w:ascii="仿宋" w:hAnsi="仿宋" w:eastAsia="仿宋" w:cs="仿宋"/>
          <w:b w:val="0"/>
          <w:bCs/>
          <w:snapToGrid w:val="0"/>
          <w:color w:val="000000" w:themeColor="text1"/>
          <w:spacing w:val="6"/>
          <w:kern w:val="0"/>
          <w:sz w:val="24"/>
          <w:szCs w:val="24"/>
          <w14:textFill>
            <w14:solidFill>
              <w14:schemeClr w14:val="tx1"/>
            </w14:solidFill>
          </w14:textFill>
        </w:rPr>
        <w:t>t</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（吨）</w:t>
      </w:r>
      <w:r>
        <w:rPr>
          <w:rFonts w:hint="eastAsia" w:ascii="仿宋" w:hAnsi="仿宋" w:eastAsia="仿宋" w:cs="仿宋"/>
          <w:snapToGrid w:val="0"/>
          <w:color w:val="000000" w:themeColor="text1"/>
          <w:spacing w:val="6"/>
          <w:kern w:val="0"/>
          <w:sz w:val="24"/>
          <w:szCs w:val="24"/>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6.1.2 间接能源消耗的电力、热力</w:t>
      </w:r>
    </w:p>
    <w:p>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报告年度内本行自身经营的间接能源消耗的电力、热力情况如下：营业办公消耗的外部输入电力</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color w:val="000000"/>
          <w:spacing w:val="6"/>
          <w:sz w:val="24"/>
          <w:u w:val="single" w:color="auto"/>
        </w:rPr>
        <w:t xml:space="preserve">2007.7 </w:t>
      </w:r>
      <w:r>
        <w:rPr>
          <w:rFonts w:ascii="仿宋" w:hAnsi="仿宋" w:eastAsia="仿宋" w:cs="仿宋"/>
          <w:b w:val="0"/>
          <w:bCs/>
          <w:color w:val="000000" w:themeColor="text1"/>
          <w:spacing w:val="6"/>
          <w:sz w:val="24"/>
          <w14:textFill>
            <w14:solidFill>
              <w14:schemeClr w14:val="tx1"/>
            </w14:solidFill>
          </w14:textFill>
        </w:rPr>
        <w:t>MWh</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（兆瓦时）</w:t>
      </w:r>
      <w:r>
        <w:rPr>
          <w:rFonts w:hint="eastAsia" w:ascii="仿宋" w:hAnsi="仿宋" w:eastAsia="仿宋" w:cs="仿宋"/>
          <w:snapToGrid w:val="0"/>
          <w:color w:val="000000" w:themeColor="text1"/>
          <w:spacing w:val="6"/>
          <w:kern w:val="0"/>
          <w:sz w:val="24"/>
          <w:szCs w:val="24"/>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6.1.3 价值链消耗的能源和资源</w:t>
      </w:r>
    </w:p>
    <w:p>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本行自身经营的价值链碳排放（范围三（不含投资））如下表6-1。</w:t>
      </w:r>
    </w:p>
    <w:p>
      <w:pPr>
        <w:widowControl/>
        <w:kinsoku w:val="0"/>
        <w:autoSpaceDE w:val="0"/>
        <w:autoSpaceDN w:val="0"/>
        <w:adjustRightInd w:val="0"/>
        <w:snapToGrid w:val="0"/>
        <w:spacing w:before="217" w:beforeLines="50" w:line="240" w:lineRule="auto"/>
        <w:ind w:firstLine="0" w:firstLineChars="0"/>
        <w:jc w:val="center"/>
        <w:textAlignment w:val="baseline"/>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6-1 自身经营价值链碳排放（范围3）</w:t>
      </w:r>
    </w:p>
    <w:tbl>
      <w:tblPr>
        <w:tblStyle w:val="22"/>
        <w:tblW w:w="8438" w:type="dxa"/>
        <w:tblInd w:w="-5" w:type="dxa"/>
        <w:tblLayout w:type="fixed"/>
        <w:tblCellMar>
          <w:top w:w="0" w:type="dxa"/>
          <w:left w:w="108" w:type="dxa"/>
          <w:bottom w:w="0" w:type="dxa"/>
          <w:right w:w="108" w:type="dxa"/>
        </w:tblCellMar>
      </w:tblPr>
      <w:tblGrid>
        <w:gridCol w:w="1256"/>
        <w:gridCol w:w="1319"/>
        <w:gridCol w:w="1429"/>
        <w:gridCol w:w="1288"/>
        <w:gridCol w:w="1716"/>
        <w:gridCol w:w="1430"/>
      </w:tblGrid>
      <w:tr>
        <w:tblPrEx>
          <w:tblLayout w:type="fixed"/>
          <w:tblCellMar>
            <w:top w:w="0" w:type="dxa"/>
            <w:left w:w="108" w:type="dxa"/>
            <w:bottom w:w="0" w:type="dxa"/>
            <w:right w:w="108" w:type="dxa"/>
          </w:tblCellMar>
        </w:tblPrEx>
        <w:trPr>
          <w:trHeight w:val="367" w:hRule="atLeast"/>
          <w:tblHeader/>
        </w:trPr>
        <w:tc>
          <w:tcPr>
            <w:tcW w:w="25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按范围分</w:t>
            </w:r>
          </w:p>
        </w:tc>
        <w:tc>
          <w:tcPr>
            <w:tcW w:w="271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能源资源及地区分</w:t>
            </w:r>
          </w:p>
        </w:tc>
        <w:tc>
          <w:tcPr>
            <w:tcW w:w="17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活动水平</w:t>
            </w:r>
          </w:p>
        </w:tc>
        <w:tc>
          <w:tcPr>
            <w:tcW w:w="143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单位</w:t>
            </w:r>
          </w:p>
        </w:tc>
      </w:tr>
      <w:tr>
        <w:tblPrEx>
          <w:tblLayout w:type="fixed"/>
          <w:tblCellMar>
            <w:top w:w="0" w:type="dxa"/>
            <w:left w:w="108" w:type="dxa"/>
            <w:bottom w:w="0" w:type="dxa"/>
            <w:right w:w="108" w:type="dxa"/>
          </w:tblCellMar>
        </w:tblPrEx>
        <w:trPr>
          <w:trHeight w:val="367" w:hRule="atLeast"/>
        </w:trPr>
        <w:tc>
          <w:tcPr>
            <w:tcW w:w="125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价值链碳排放量（范围三（不含投资））</w:t>
            </w:r>
          </w:p>
        </w:tc>
        <w:tc>
          <w:tcPr>
            <w:tcW w:w="131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购买商品与服务</w:t>
            </w:r>
          </w:p>
        </w:tc>
        <w:tc>
          <w:tcPr>
            <w:tcW w:w="271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水</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16190.00</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吨</w:t>
            </w:r>
          </w:p>
        </w:tc>
      </w:tr>
      <w:tr>
        <w:tblPrEx>
          <w:tblLayout w:type="fixed"/>
          <w:tblCellMar>
            <w:top w:w="0" w:type="dxa"/>
            <w:left w:w="108" w:type="dxa"/>
            <w:bottom w:w="0" w:type="dxa"/>
            <w:right w:w="108" w:type="dxa"/>
          </w:tblCellMar>
        </w:tblPrEx>
        <w:trPr>
          <w:trHeight w:val="367" w:hRule="atLeast"/>
        </w:trPr>
        <w:tc>
          <w:tcPr>
            <w:tcW w:w="1256"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p>
        </w:tc>
        <w:tc>
          <w:tcPr>
            <w:tcW w:w="1319"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p>
        </w:tc>
        <w:tc>
          <w:tcPr>
            <w:tcW w:w="27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纸张（普通A4打印纸）</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41.50</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万张</w:t>
            </w:r>
          </w:p>
        </w:tc>
      </w:tr>
      <w:tr>
        <w:tblPrEx>
          <w:tblLayout w:type="fixed"/>
          <w:tblCellMar>
            <w:top w:w="0" w:type="dxa"/>
            <w:left w:w="108" w:type="dxa"/>
            <w:bottom w:w="0" w:type="dxa"/>
            <w:right w:w="108" w:type="dxa"/>
          </w:tblCellMar>
        </w:tblPrEx>
        <w:trPr>
          <w:trHeight w:val="367" w:hRule="atLeast"/>
        </w:trPr>
        <w:tc>
          <w:tcPr>
            <w:tcW w:w="1256"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p>
        </w:tc>
        <w:tc>
          <w:tcPr>
            <w:tcW w:w="1319"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p>
        </w:tc>
        <w:tc>
          <w:tcPr>
            <w:tcW w:w="1429"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员工食堂就餐</w:t>
            </w:r>
          </w:p>
        </w:tc>
        <w:tc>
          <w:tcPr>
            <w:tcW w:w="128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人数</w:t>
            </w:r>
            <w:r>
              <w:rPr>
                <w:rFonts w:ascii="宋体" w:hAnsi="宋体" w:eastAsia="宋体"/>
                <w:color w:val="000000" w:themeColor="text1"/>
                <w:kern w:val="0"/>
                <w:sz w:val="18"/>
                <w:szCs w:val="18"/>
                <w14:textFill>
                  <w14:solidFill>
                    <w14:schemeClr w14:val="tx1"/>
                  </w14:solidFill>
                </w14:textFill>
              </w:rPr>
              <w:t>(</w:t>
            </w:r>
            <w:r>
              <w:rPr>
                <w:rFonts w:hint="eastAsia" w:ascii="宋体" w:hAnsi="宋体" w:eastAsia="宋体"/>
                <w:color w:val="000000" w:themeColor="text1"/>
                <w:kern w:val="0"/>
                <w:sz w:val="18"/>
                <w:szCs w:val="18"/>
                <w14:textFill>
                  <w14:solidFill>
                    <w14:schemeClr w14:val="tx1"/>
                  </w14:solidFill>
                </w14:textFill>
              </w:rPr>
              <w:t>人均法</w:t>
            </w:r>
            <w:r>
              <w:rPr>
                <w:rFonts w:ascii="宋体" w:hAnsi="宋体" w:eastAsia="宋体"/>
                <w:color w:val="000000" w:themeColor="text1"/>
                <w:kern w:val="0"/>
                <w:sz w:val="18"/>
                <w:szCs w:val="18"/>
                <w14:textFill>
                  <w14:solidFill>
                    <w14:schemeClr w14:val="tx1"/>
                  </w14:solidFill>
                </w14:textFill>
              </w:rPr>
              <w:t>)</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b w:val="0"/>
                <w:bCs/>
                <w:color w:val="000000" w:themeColor="text1"/>
                <w:kern w:val="0"/>
                <w:sz w:val="18"/>
                <w:szCs w:val="18"/>
                <w:lang w:val="en-US" w:eastAsia="zh-CN"/>
                <w14:textFill>
                  <w14:solidFill>
                    <w14:schemeClr w14:val="tx1"/>
                  </w14:solidFill>
                </w14:textFill>
              </w:rPr>
              <w:t>270.00</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人·年</w:t>
            </w:r>
          </w:p>
        </w:tc>
      </w:tr>
      <w:tr>
        <w:tblPrEx>
          <w:tblLayout w:type="fixed"/>
          <w:tblCellMar>
            <w:top w:w="0" w:type="dxa"/>
            <w:left w:w="108" w:type="dxa"/>
            <w:bottom w:w="0" w:type="dxa"/>
            <w:right w:w="108" w:type="dxa"/>
          </w:tblCellMar>
        </w:tblPrEx>
        <w:trPr>
          <w:trHeight w:val="367" w:hRule="atLeast"/>
        </w:trPr>
        <w:tc>
          <w:tcPr>
            <w:tcW w:w="1256"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319" w:type="dxa"/>
            <w:vMerge w:val="restart"/>
            <w:tcBorders>
              <w:top w:val="nil"/>
              <w:left w:val="single" w:color="auto" w:sz="4" w:space="0"/>
              <w:bottom w:val="nil"/>
              <w:right w:val="single" w:color="auto"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上游运输和配送</w:t>
            </w:r>
          </w:p>
        </w:tc>
        <w:tc>
          <w:tcPr>
            <w:tcW w:w="1429"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外包班车</w:t>
            </w:r>
          </w:p>
        </w:tc>
        <w:tc>
          <w:tcPr>
            <w:tcW w:w="128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汽油小客车</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b w:val="0"/>
                <w:bCs/>
                <w:color w:val="000000" w:themeColor="text1"/>
                <w:kern w:val="0"/>
                <w:sz w:val="18"/>
                <w:szCs w:val="18"/>
                <w:highlight w:val="none"/>
                <w:lang w:val="en-US" w:eastAsia="zh-CN"/>
                <w14:textFill>
                  <w14:solidFill>
                    <w14:schemeClr w14:val="tx1"/>
                  </w14:solidFill>
                </w14:textFill>
              </w:rPr>
              <w:t>0.00</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宋体" w:hAnsi="宋体" w:eastAsia="宋体"/>
                <w:color w:val="000000" w:themeColor="text1"/>
                <w:kern w:val="0"/>
                <w:sz w:val="18"/>
                <w:szCs w:val="18"/>
                <w:highlight w:val="none"/>
                <w:lang w:eastAsia="zh-CN"/>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千米</w:t>
            </w:r>
            <w:r>
              <w:rPr>
                <w:rFonts w:hint="eastAsia" w:ascii="宋体" w:hAnsi="宋体" w:eastAsia="宋体"/>
                <w:color w:val="000000" w:themeColor="text1"/>
                <w:kern w:val="0"/>
                <w:sz w:val="18"/>
                <w:szCs w:val="18"/>
                <w:highlight w:val="none"/>
                <w:lang w:eastAsia="zh-CN"/>
                <w14:textFill>
                  <w14:solidFill>
                    <w14:schemeClr w14:val="tx1"/>
                  </w14:solidFill>
                </w14:textFill>
              </w:rPr>
              <w:t>（</w:t>
            </w:r>
            <w:r>
              <w:rPr>
                <w:rFonts w:hint="eastAsia" w:ascii="宋体" w:hAnsi="宋体" w:eastAsia="宋体"/>
                <w:color w:val="000000" w:themeColor="text1"/>
                <w:kern w:val="0"/>
                <w:sz w:val="18"/>
                <w:szCs w:val="18"/>
                <w:highlight w:val="none"/>
                <w:lang w:val="en-US" w:eastAsia="zh-CN"/>
                <w14:textFill>
                  <w14:solidFill>
                    <w14:schemeClr w14:val="tx1"/>
                  </w14:solidFill>
                </w14:textFill>
              </w:rPr>
              <w:t>总</w:t>
            </w:r>
            <w:r>
              <w:rPr>
                <w:rFonts w:hint="eastAsia" w:ascii="宋体" w:hAnsi="宋体" w:eastAsia="宋体"/>
                <w:color w:val="000000" w:themeColor="text1"/>
                <w:kern w:val="0"/>
                <w:sz w:val="18"/>
                <w:szCs w:val="18"/>
                <w:highlight w:val="none"/>
                <w:lang w:eastAsia="zh-CN"/>
                <w14:textFill>
                  <w14:solidFill>
                    <w14:schemeClr w14:val="tx1"/>
                  </w14:solidFill>
                </w14:textFill>
              </w:rPr>
              <w:t>）</w:t>
            </w:r>
          </w:p>
        </w:tc>
      </w:tr>
      <w:tr>
        <w:tblPrEx>
          <w:tblLayout w:type="fixed"/>
          <w:tblCellMar>
            <w:top w:w="0" w:type="dxa"/>
            <w:left w:w="108" w:type="dxa"/>
            <w:bottom w:w="0" w:type="dxa"/>
            <w:right w:w="108" w:type="dxa"/>
          </w:tblCellMar>
        </w:tblPrEx>
        <w:trPr>
          <w:trHeight w:val="367" w:hRule="atLeast"/>
        </w:trPr>
        <w:tc>
          <w:tcPr>
            <w:tcW w:w="1256"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319" w:type="dxa"/>
            <w:vMerge w:val="continue"/>
            <w:tcBorders>
              <w:top w:val="nil"/>
              <w:left w:val="single" w:color="auto" w:sz="4" w:space="0"/>
              <w:bottom w:val="nil"/>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429"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28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柴油小客车</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b w:val="0"/>
                <w:bCs/>
                <w:color w:val="000000" w:themeColor="text1"/>
                <w:kern w:val="0"/>
                <w:sz w:val="18"/>
                <w:szCs w:val="18"/>
                <w:highlight w:val="none"/>
                <w:lang w:val="en-US" w:eastAsia="zh-CN"/>
                <w14:textFill>
                  <w14:solidFill>
                    <w14:schemeClr w14:val="tx1"/>
                  </w14:solidFill>
                </w14:textFill>
              </w:rPr>
              <w:t>0.00</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千米</w:t>
            </w:r>
            <w:r>
              <w:rPr>
                <w:rFonts w:hint="eastAsia" w:ascii="宋体" w:hAnsi="宋体" w:eastAsia="宋体"/>
                <w:color w:val="000000" w:themeColor="text1"/>
                <w:kern w:val="0"/>
                <w:sz w:val="18"/>
                <w:szCs w:val="18"/>
                <w:highlight w:val="none"/>
                <w:lang w:eastAsia="zh-CN"/>
                <w14:textFill>
                  <w14:solidFill>
                    <w14:schemeClr w14:val="tx1"/>
                  </w14:solidFill>
                </w14:textFill>
              </w:rPr>
              <w:t>（</w:t>
            </w:r>
            <w:r>
              <w:rPr>
                <w:rFonts w:hint="eastAsia" w:ascii="宋体" w:hAnsi="宋体" w:eastAsia="宋体"/>
                <w:color w:val="000000" w:themeColor="text1"/>
                <w:kern w:val="0"/>
                <w:sz w:val="18"/>
                <w:szCs w:val="18"/>
                <w:highlight w:val="none"/>
                <w:lang w:val="en-US" w:eastAsia="zh-CN"/>
                <w14:textFill>
                  <w14:solidFill>
                    <w14:schemeClr w14:val="tx1"/>
                  </w14:solidFill>
                </w14:textFill>
              </w:rPr>
              <w:t>总</w:t>
            </w:r>
            <w:r>
              <w:rPr>
                <w:rFonts w:hint="eastAsia" w:ascii="宋体" w:hAnsi="宋体" w:eastAsia="宋体"/>
                <w:color w:val="000000" w:themeColor="text1"/>
                <w:kern w:val="0"/>
                <w:sz w:val="18"/>
                <w:szCs w:val="18"/>
                <w:highlight w:val="none"/>
                <w:lang w:eastAsia="zh-CN"/>
                <w14:textFill>
                  <w14:solidFill>
                    <w14:schemeClr w14:val="tx1"/>
                  </w14:solidFill>
                </w14:textFill>
              </w:rPr>
              <w:t>）</w:t>
            </w:r>
          </w:p>
        </w:tc>
      </w:tr>
      <w:tr>
        <w:tblPrEx>
          <w:tblLayout w:type="fixed"/>
          <w:tblCellMar>
            <w:top w:w="0" w:type="dxa"/>
            <w:left w:w="108" w:type="dxa"/>
            <w:bottom w:w="0" w:type="dxa"/>
            <w:right w:w="108" w:type="dxa"/>
          </w:tblCellMar>
        </w:tblPrEx>
        <w:trPr>
          <w:trHeight w:val="367" w:hRule="atLeast"/>
        </w:trPr>
        <w:tc>
          <w:tcPr>
            <w:tcW w:w="1256"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319" w:type="dxa"/>
            <w:vMerge w:val="continue"/>
            <w:tcBorders>
              <w:top w:val="nil"/>
              <w:left w:val="single" w:color="auto" w:sz="4" w:space="0"/>
              <w:bottom w:val="nil"/>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429"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押解车辆</w:t>
            </w:r>
          </w:p>
        </w:tc>
        <w:tc>
          <w:tcPr>
            <w:tcW w:w="128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重型货车</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b w:val="0"/>
                <w:bCs/>
                <w:color w:val="000000" w:themeColor="text1"/>
                <w:kern w:val="0"/>
                <w:sz w:val="18"/>
                <w:szCs w:val="18"/>
                <w:highlight w:val="none"/>
                <w:lang w:val="en-US" w:eastAsia="zh-CN"/>
                <w14:textFill>
                  <w14:solidFill>
                    <w14:schemeClr w14:val="tx1"/>
                  </w14:solidFill>
                </w14:textFill>
              </w:rPr>
              <w:t>459000.00</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吨·千米</w:t>
            </w:r>
          </w:p>
        </w:tc>
      </w:tr>
      <w:tr>
        <w:tblPrEx>
          <w:tblLayout w:type="fixed"/>
          <w:tblCellMar>
            <w:top w:w="0" w:type="dxa"/>
            <w:left w:w="108" w:type="dxa"/>
            <w:bottom w:w="0" w:type="dxa"/>
            <w:right w:w="108" w:type="dxa"/>
          </w:tblCellMar>
        </w:tblPrEx>
        <w:trPr>
          <w:trHeight w:val="367" w:hRule="atLeast"/>
        </w:trPr>
        <w:tc>
          <w:tcPr>
            <w:tcW w:w="1256"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31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运营中产生的废物</w:t>
            </w:r>
          </w:p>
        </w:tc>
        <w:tc>
          <w:tcPr>
            <w:tcW w:w="1429"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废弃物处置</w:t>
            </w:r>
          </w:p>
        </w:tc>
        <w:tc>
          <w:tcPr>
            <w:tcW w:w="128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其他垃圾</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b w:val="0"/>
                <w:bCs/>
                <w:color w:val="000000" w:themeColor="text1"/>
                <w:kern w:val="0"/>
                <w:sz w:val="18"/>
                <w:szCs w:val="18"/>
                <w:highlight w:val="none"/>
                <w:lang w:val="en-US" w:eastAsia="zh-CN"/>
                <w14:textFill>
                  <w14:solidFill>
                    <w14:schemeClr w14:val="tx1"/>
                  </w14:solidFill>
                </w14:textFill>
              </w:rPr>
              <w:t>8.00</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吨</w:t>
            </w:r>
          </w:p>
        </w:tc>
      </w:tr>
      <w:tr>
        <w:tblPrEx>
          <w:tblLayout w:type="fixed"/>
          <w:tblCellMar>
            <w:top w:w="0" w:type="dxa"/>
            <w:left w:w="108" w:type="dxa"/>
            <w:bottom w:w="0" w:type="dxa"/>
            <w:right w:w="108" w:type="dxa"/>
          </w:tblCellMar>
        </w:tblPrEx>
        <w:trPr>
          <w:trHeight w:val="367" w:hRule="atLeast"/>
        </w:trPr>
        <w:tc>
          <w:tcPr>
            <w:tcW w:w="1256"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31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429"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28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厨余垃圾</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b w:val="0"/>
                <w:bCs/>
                <w:color w:val="000000" w:themeColor="text1"/>
                <w:kern w:val="0"/>
                <w:sz w:val="18"/>
                <w:szCs w:val="18"/>
                <w:highlight w:val="none"/>
                <w:lang w:val="en-US" w:eastAsia="zh-CN"/>
                <w14:textFill>
                  <w14:solidFill>
                    <w14:schemeClr w14:val="tx1"/>
                  </w14:solidFill>
                </w14:textFill>
              </w:rPr>
              <w:t>6.25</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吨</w:t>
            </w:r>
          </w:p>
        </w:tc>
      </w:tr>
      <w:tr>
        <w:tblPrEx>
          <w:tblLayout w:type="fixed"/>
          <w:tblCellMar>
            <w:top w:w="0" w:type="dxa"/>
            <w:left w:w="108" w:type="dxa"/>
            <w:bottom w:w="0" w:type="dxa"/>
            <w:right w:w="108" w:type="dxa"/>
          </w:tblCellMar>
        </w:tblPrEx>
        <w:trPr>
          <w:trHeight w:val="367" w:hRule="atLeast"/>
        </w:trPr>
        <w:tc>
          <w:tcPr>
            <w:tcW w:w="1256"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31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差旅</w:t>
            </w:r>
          </w:p>
        </w:tc>
        <w:tc>
          <w:tcPr>
            <w:tcW w:w="142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员工差旅出行</w:t>
            </w:r>
          </w:p>
        </w:tc>
        <w:tc>
          <w:tcPr>
            <w:tcW w:w="128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乘坐飞机</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b w:val="0"/>
                <w:bCs/>
                <w:color w:val="000000" w:themeColor="text1"/>
                <w:kern w:val="0"/>
                <w:sz w:val="18"/>
                <w:szCs w:val="18"/>
                <w:highlight w:val="none"/>
                <w:lang w:val="en-US" w:eastAsia="zh-CN"/>
                <w14:textFill>
                  <w14:solidFill>
                    <w14:schemeClr w14:val="tx1"/>
                  </w14:solidFill>
                </w14:textFill>
              </w:rPr>
              <w:t>4000.00</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千米</w:t>
            </w:r>
            <w:r>
              <w:rPr>
                <w:rFonts w:hint="eastAsia" w:ascii="宋体" w:hAnsi="宋体" w:eastAsia="宋体"/>
                <w:color w:val="000000" w:themeColor="text1"/>
                <w:kern w:val="0"/>
                <w:sz w:val="18"/>
                <w:szCs w:val="18"/>
                <w:highlight w:val="none"/>
                <w:lang w:eastAsia="zh-CN"/>
                <w14:textFill>
                  <w14:solidFill>
                    <w14:schemeClr w14:val="tx1"/>
                  </w14:solidFill>
                </w14:textFill>
              </w:rPr>
              <w:t>（</w:t>
            </w:r>
            <w:r>
              <w:rPr>
                <w:rFonts w:hint="eastAsia" w:ascii="宋体" w:hAnsi="宋体" w:eastAsia="宋体"/>
                <w:color w:val="000000" w:themeColor="text1"/>
                <w:kern w:val="0"/>
                <w:sz w:val="18"/>
                <w:szCs w:val="18"/>
                <w:highlight w:val="none"/>
                <w:lang w:val="en-US" w:eastAsia="zh-CN"/>
                <w14:textFill>
                  <w14:solidFill>
                    <w14:schemeClr w14:val="tx1"/>
                  </w14:solidFill>
                </w14:textFill>
              </w:rPr>
              <w:t>总</w:t>
            </w:r>
            <w:r>
              <w:rPr>
                <w:rFonts w:hint="eastAsia" w:ascii="宋体" w:hAnsi="宋体" w:eastAsia="宋体"/>
                <w:color w:val="000000" w:themeColor="text1"/>
                <w:kern w:val="0"/>
                <w:sz w:val="18"/>
                <w:szCs w:val="18"/>
                <w:highlight w:val="none"/>
                <w:lang w:eastAsia="zh-CN"/>
                <w14:textFill>
                  <w14:solidFill>
                    <w14:schemeClr w14:val="tx1"/>
                  </w14:solidFill>
                </w14:textFill>
              </w:rPr>
              <w:t>）</w:t>
            </w:r>
          </w:p>
        </w:tc>
      </w:tr>
      <w:tr>
        <w:tblPrEx>
          <w:tblLayout w:type="fixed"/>
          <w:tblCellMar>
            <w:top w:w="0" w:type="dxa"/>
            <w:left w:w="108" w:type="dxa"/>
            <w:bottom w:w="0" w:type="dxa"/>
            <w:right w:w="108" w:type="dxa"/>
          </w:tblCellMar>
        </w:tblPrEx>
        <w:trPr>
          <w:trHeight w:val="367" w:hRule="atLeast"/>
        </w:trPr>
        <w:tc>
          <w:tcPr>
            <w:tcW w:w="1256"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319"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429"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28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乘坐高铁</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b w:val="0"/>
                <w:bCs/>
                <w:color w:val="000000" w:themeColor="text1"/>
                <w:kern w:val="0"/>
                <w:sz w:val="18"/>
                <w:szCs w:val="18"/>
                <w:highlight w:val="none"/>
                <w:lang w:val="en-US" w:eastAsia="zh-CN"/>
                <w14:textFill>
                  <w14:solidFill>
                    <w14:schemeClr w14:val="tx1"/>
                  </w14:solidFill>
                </w14:textFill>
              </w:rPr>
              <w:t>14600.00</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千米</w:t>
            </w:r>
            <w:r>
              <w:rPr>
                <w:rFonts w:hint="eastAsia" w:ascii="宋体" w:hAnsi="宋体" w:eastAsia="宋体"/>
                <w:color w:val="000000" w:themeColor="text1"/>
                <w:kern w:val="0"/>
                <w:sz w:val="18"/>
                <w:szCs w:val="18"/>
                <w:highlight w:val="none"/>
                <w:lang w:eastAsia="zh-CN"/>
                <w14:textFill>
                  <w14:solidFill>
                    <w14:schemeClr w14:val="tx1"/>
                  </w14:solidFill>
                </w14:textFill>
              </w:rPr>
              <w:t>（</w:t>
            </w:r>
            <w:r>
              <w:rPr>
                <w:rFonts w:hint="eastAsia" w:ascii="宋体" w:hAnsi="宋体" w:eastAsia="宋体"/>
                <w:color w:val="000000" w:themeColor="text1"/>
                <w:kern w:val="0"/>
                <w:sz w:val="18"/>
                <w:szCs w:val="18"/>
                <w:highlight w:val="none"/>
                <w:lang w:val="en-US" w:eastAsia="zh-CN"/>
                <w14:textFill>
                  <w14:solidFill>
                    <w14:schemeClr w14:val="tx1"/>
                  </w14:solidFill>
                </w14:textFill>
              </w:rPr>
              <w:t>总</w:t>
            </w:r>
            <w:r>
              <w:rPr>
                <w:rFonts w:hint="eastAsia" w:ascii="宋体" w:hAnsi="宋体" w:eastAsia="宋体"/>
                <w:color w:val="000000" w:themeColor="text1"/>
                <w:kern w:val="0"/>
                <w:sz w:val="18"/>
                <w:szCs w:val="18"/>
                <w:highlight w:val="none"/>
                <w:lang w:eastAsia="zh-CN"/>
                <w14:textFill>
                  <w14:solidFill>
                    <w14:schemeClr w14:val="tx1"/>
                  </w14:solidFill>
                </w14:textFill>
              </w:rPr>
              <w:t>）</w:t>
            </w:r>
          </w:p>
        </w:tc>
      </w:tr>
      <w:tr>
        <w:tblPrEx>
          <w:tblLayout w:type="fixed"/>
          <w:tblCellMar>
            <w:top w:w="0" w:type="dxa"/>
            <w:left w:w="108" w:type="dxa"/>
            <w:bottom w:w="0" w:type="dxa"/>
            <w:right w:w="108" w:type="dxa"/>
          </w:tblCellMar>
        </w:tblPrEx>
        <w:trPr>
          <w:trHeight w:val="367" w:hRule="atLeast"/>
        </w:trPr>
        <w:tc>
          <w:tcPr>
            <w:tcW w:w="1256"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319"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429"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28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乘坐出租车</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b w:val="0"/>
                <w:bCs/>
                <w:color w:val="000000" w:themeColor="text1"/>
                <w:kern w:val="0"/>
                <w:sz w:val="18"/>
                <w:szCs w:val="18"/>
                <w:highlight w:val="none"/>
                <w:lang w:val="en-US" w:eastAsia="zh-CN"/>
                <w14:textFill>
                  <w14:solidFill>
                    <w14:schemeClr w14:val="tx1"/>
                  </w14:solidFill>
                </w14:textFill>
              </w:rPr>
              <w:t>339.00</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千米</w:t>
            </w:r>
            <w:r>
              <w:rPr>
                <w:rFonts w:hint="eastAsia" w:ascii="宋体" w:hAnsi="宋体" w:eastAsia="宋体"/>
                <w:color w:val="000000" w:themeColor="text1"/>
                <w:kern w:val="0"/>
                <w:sz w:val="18"/>
                <w:szCs w:val="18"/>
                <w:highlight w:val="none"/>
                <w:lang w:eastAsia="zh-CN"/>
                <w14:textFill>
                  <w14:solidFill>
                    <w14:schemeClr w14:val="tx1"/>
                  </w14:solidFill>
                </w14:textFill>
              </w:rPr>
              <w:t>（</w:t>
            </w:r>
            <w:r>
              <w:rPr>
                <w:rFonts w:hint="eastAsia" w:ascii="宋体" w:hAnsi="宋体" w:eastAsia="宋体"/>
                <w:color w:val="000000" w:themeColor="text1"/>
                <w:kern w:val="0"/>
                <w:sz w:val="18"/>
                <w:szCs w:val="18"/>
                <w:highlight w:val="none"/>
                <w:lang w:val="en-US" w:eastAsia="zh-CN"/>
                <w14:textFill>
                  <w14:solidFill>
                    <w14:schemeClr w14:val="tx1"/>
                  </w14:solidFill>
                </w14:textFill>
              </w:rPr>
              <w:t>总</w:t>
            </w:r>
            <w:r>
              <w:rPr>
                <w:rFonts w:hint="eastAsia" w:ascii="宋体" w:hAnsi="宋体" w:eastAsia="宋体"/>
                <w:color w:val="000000" w:themeColor="text1"/>
                <w:kern w:val="0"/>
                <w:sz w:val="18"/>
                <w:szCs w:val="18"/>
                <w:highlight w:val="none"/>
                <w:lang w:eastAsia="zh-CN"/>
                <w14:textFill>
                  <w14:solidFill>
                    <w14:schemeClr w14:val="tx1"/>
                  </w14:solidFill>
                </w14:textFill>
              </w:rPr>
              <w:t>）</w:t>
            </w:r>
          </w:p>
        </w:tc>
      </w:tr>
      <w:tr>
        <w:tblPrEx>
          <w:tblLayout w:type="fixed"/>
          <w:tblCellMar>
            <w:top w:w="0" w:type="dxa"/>
            <w:left w:w="108" w:type="dxa"/>
            <w:bottom w:w="0" w:type="dxa"/>
            <w:right w:w="108" w:type="dxa"/>
          </w:tblCellMar>
        </w:tblPrEx>
        <w:trPr>
          <w:trHeight w:val="367" w:hRule="atLeast"/>
        </w:trPr>
        <w:tc>
          <w:tcPr>
            <w:tcW w:w="1256"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319"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271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员工差旅住宿</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b w:val="0"/>
                <w:bCs/>
                <w:color w:val="000000" w:themeColor="text1"/>
                <w:kern w:val="0"/>
                <w:sz w:val="18"/>
                <w:szCs w:val="18"/>
                <w:highlight w:val="none"/>
                <w:lang w:val="en-US" w:eastAsia="zh-CN"/>
                <w14:textFill>
                  <w14:solidFill>
                    <w14:schemeClr w14:val="tx1"/>
                  </w14:solidFill>
                </w14:textFill>
              </w:rPr>
              <w:t>725.00</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房间</w:t>
            </w:r>
            <w:r>
              <w:rPr>
                <w:rFonts w:hint="eastAsia" w:ascii="宋体" w:hAnsi="宋体" w:eastAsia="宋体"/>
                <w:color w:val="000000" w:themeColor="text1"/>
                <w:kern w:val="0"/>
                <w:sz w:val="18"/>
                <w:szCs w:val="18"/>
                <w:highlight w:val="none"/>
                <w:lang w:eastAsia="zh-CN"/>
                <w14:textFill>
                  <w14:solidFill>
                    <w14:schemeClr w14:val="tx1"/>
                  </w14:solidFill>
                </w14:textFill>
              </w:rPr>
              <w:t>（</w:t>
            </w:r>
            <w:r>
              <w:rPr>
                <w:rFonts w:hint="eastAsia" w:ascii="宋体" w:hAnsi="宋体" w:eastAsia="宋体"/>
                <w:color w:val="000000" w:themeColor="text1"/>
                <w:kern w:val="0"/>
                <w:sz w:val="18"/>
                <w:szCs w:val="18"/>
                <w:highlight w:val="none"/>
                <w:lang w:val="en-US" w:eastAsia="zh-CN"/>
                <w14:textFill>
                  <w14:solidFill>
                    <w14:schemeClr w14:val="tx1"/>
                  </w14:solidFill>
                </w14:textFill>
              </w:rPr>
              <w:t>总</w:t>
            </w:r>
            <w:r>
              <w:rPr>
                <w:rFonts w:hint="eastAsia" w:ascii="宋体" w:hAnsi="宋体" w:eastAsia="宋体"/>
                <w:color w:val="000000" w:themeColor="text1"/>
                <w:kern w:val="0"/>
                <w:sz w:val="18"/>
                <w:szCs w:val="18"/>
                <w:highlight w:val="none"/>
                <w:lang w:eastAsia="zh-CN"/>
                <w14:textFill>
                  <w14:solidFill>
                    <w14:schemeClr w14:val="tx1"/>
                  </w14:solidFill>
                </w14:textFill>
              </w:rPr>
              <w:t>）</w:t>
            </w:r>
          </w:p>
        </w:tc>
      </w:tr>
      <w:tr>
        <w:tblPrEx>
          <w:tblLayout w:type="fixed"/>
          <w:tblCellMar>
            <w:top w:w="0" w:type="dxa"/>
            <w:left w:w="108" w:type="dxa"/>
            <w:bottom w:w="0" w:type="dxa"/>
            <w:right w:w="108" w:type="dxa"/>
          </w:tblCellMar>
        </w:tblPrEx>
        <w:trPr>
          <w:trHeight w:val="367" w:hRule="atLeast"/>
        </w:trPr>
        <w:tc>
          <w:tcPr>
            <w:tcW w:w="1256"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31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员工通勤</w:t>
            </w:r>
          </w:p>
        </w:tc>
        <w:tc>
          <w:tcPr>
            <w:tcW w:w="271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公交车</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b w:val="0"/>
                <w:bCs/>
                <w:color w:val="000000" w:themeColor="text1"/>
                <w:kern w:val="0"/>
                <w:sz w:val="18"/>
                <w:szCs w:val="18"/>
                <w:highlight w:val="none"/>
                <w:lang w:val="en-US" w:eastAsia="zh-CN"/>
                <w14:textFill>
                  <w14:solidFill>
                    <w14:schemeClr w14:val="tx1"/>
                  </w14:solidFill>
                </w14:textFill>
              </w:rPr>
              <w:t>0.00</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千米</w:t>
            </w:r>
            <w:r>
              <w:rPr>
                <w:rFonts w:hint="eastAsia" w:ascii="宋体" w:hAnsi="宋体" w:eastAsia="宋体"/>
                <w:color w:val="000000" w:themeColor="text1"/>
                <w:kern w:val="0"/>
                <w:sz w:val="18"/>
                <w:szCs w:val="18"/>
                <w:highlight w:val="none"/>
                <w:lang w:eastAsia="zh-CN"/>
                <w14:textFill>
                  <w14:solidFill>
                    <w14:schemeClr w14:val="tx1"/>
                  </w14:solidFill>
                </w14:textFill>
              </w:rPr>
              <w:t>（</w:t>
            </w:r>
            <w:r>
              <w:rPr>
                <w:rFonts w:hint="eastAsia" w:ascii="宋体" w:hAnsi="宋体" w:eastAsia="宋体"/>
                <w:color w:val="000000" w:themeColor="text1"/>
                <w:kern w:val="0"/>
                <w:sz w:val="18"/>
                <w:szCs w:val="18"/>
                <w:highlight w:val="none"/>
                <w:lang w:val="en-US" w:eastAsia="zh-CN"/>
                <w14:textFill>
                  <w14:solidFill>
                    <w14:schemeClr w14:val="tx1"/>
                  </w14:solidFill>
                </w14:textFill>
              </w:rPr>
              <w:t>总</w:t>
            </w:r>
            <w:r>
              <w:rPr>
                <w:rFonts w:hint="eastAsia" w:ascii="宋体" w:hAnsi="宋体" w:eastAsia="宋体"/>
                <w:color w:val="000000" w:themeColor="text1"/>
                <w:kern w:val="0"/>
                <w:sz w:val="18"/>
                <w:szCs w:val="18"/>
                <w:highlight w:val="none"/>
                <w:lang w:eastAsia="zh-CN"/>
                <w14:textFill>
                  <w14:solidFill>
                    <w14:schemeClr w14:val="tx1"/>
                  </w14:solidFill>
                </w14:textFill>
              </w:rPr>
              <w:t>）</w:t>
            </w:r>
          </w:p>
        </w:tc>
      </w:tr>
      <w:tr>
        <w:tblPrEx>
          <w:tblLayout w:type="fixed"/>
          <w:tblCellMar>
            <w:top w:w="0" w:type="dxa"/>
            <w:left w:w="108" w:type="dxa"/>
            <w:bottom w:w="0" w:type="dxa"/>
            <w:right w:w="108" w:type="dxa"/>
          </w:tblCellMar>
        </w:tblPrEx>
        <w:trPr>
          <w:trHeight w:val="367" w:hRule="atLeast"/>
        </w:trPr>
        <w:tc>
          <w:tcPr>
            <w:tcW w:w="1256"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319"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271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地铁</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b w:val="0"/>
                <w:bCs/>
                <w:color w:val="000000" w:themeColor="text1"/>
                <w:kern w:val="0"/>
                <w:sz w:val="18"/>
                <w:szCs w:val="18"/>
                <w:highlight w:val="none"/>
                <w:lang w:val="en-US" w:eastAsia="zh-CN"/>
                <w14:textFill>
                  <w14:solidFill>
                    <w14:schemeClr w14:val="tx1"/>
                  </w14:solidFill>
                </w14:textFill>
              </w:rPr>
              <w:t>0.00</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千米</w:t>
            </w:r>
            <w:r>
              <w:rPr>
                <w:rFonts w:hint="eastAsia" w:ascii="宋体" w:hAnsi="宋体" w:eastAsia="宋体"/>
                <w:color w:val="000000" w:themeColor="text1"/>
                <w:kern w:val="0"/>
                <w:sz w:val="18"/>
                <w:szCs w:val="18"/>
                <w:highlight w:val="none"/>
                <w:lang w:eastAsia="zh-CN"/>
                <w14:textFill>
                  <w14:solidFill>
                    <w14:schemeClr w14:val="tx1"/>
                  </w14:solidFill>
                </w14:textFill>
              </w:rPr>
              <w:t>（</w:t>
            </w:r>
            <w:r>
              <w:rPr>
                <w:rFonts w:hint="eastAsia" w:ascii="宋体" w:hAnsi="宋体" w:eastAsia="宋体"/>
                <w:color w:val="000000" w:themeColor="text1"/>
                <w:kern w:val="0"/>
                <w:sz w:val="18"/>
                <w:szCs w:val="18"/>
                <w:highlight w:val="none"/>
                <w:lang w:val="en-US" w:eastAsia="zh-CN"/>
                <w14:textFill>
                  <w14:solidFill>
                    <w14:schemeClr w14:val="tx1"/>
                  </w14:solidFill>
                </w14:textFill>
              </w:rPr>
              <w:t>总</w:t>
            </w:r>
            <w:r>
              <w:rPr>
                <w:rFonts w:hint="eastAsia" w:ascii="宋体" w:hAnsi="宋体" w:eastAsia="宋体"/>
                <w:color w:val="000000" w:themeColor="text1"/>
                <w:kern w:val="0"/>
                <w:sz w:val="18"/>
                <w:szCs w:val="18"/>
                <w:highlight w:val="none"/>
                <w:lang w:eastAsia="zh-CN"/>
                <w14:textFill>
                  <w14:solidFill>
                    <w14:schemeClr w14:val="tx1"/>
                  </w14:solidFill>
                </w14:textFill>
              </w:rPr>
              <w:t>）</w:t>
            </w:r>
          </w:p>
        </w:tc>
      </w:tr>
      <w:tr>
        <w:tblPrEx>
          <w:tblLayout w:type="fixed"/>
          <w:tblCellMar>
            <w:top w:w="0" w:type="dxa"/>
            <w:left w:w="108" w:type="dxa"/>
            <w:bottom w:w="0" w:type="dxa"/>
            <w:right w:w="108" w:type="dxa"/>
          </w:tblCellMar>
        </w:tblPrEx>
        <w:trPr>
          <w:trHeight w:val="367" w:hRule="atLeast"/>
        </w:trPr>
        <w:tc>
          <w:tcPr>
            <w:tcW w:w="1256"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319"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271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私家车（燃油）</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b w:val="0"/>
                <w:bCs/>
                <w:color w:val="000000" w:themeColor="text1"/>
                <w:kern w:val="0"/>
                <w:sz w:val="18"/>
                <w:szCs w:val="18"/>
                <w:highlight w:val="none"/>
                <w:lang w:val="en-US" w:eastAsia="zh-CN"/>
                <w14:textFill>
                  <w14:solidFill>
                    <w14:schemeClr w14:val="tx1"/>
                  </w14:solidFill>
                </w14:textFill>
              </w:rPr>
              <w:t>1072500.00</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千米</w:t>
            </w:r>
            <w:r>
              <w:rPr>
                <w:rFonts w:hint="eastAsia" w:ascii="宋体" w:hAnsi="宋体" w:eastAsia="宋体"/>
                <w:color w:val="000000" w:themeColor="text1"/>
                <w:kern w:val="0"/>
                <w:sz w:val="18"/>
                <w:szCs w:val="18"/>
                <w:highlight w:val="none"/>
                <w:lang w:eastAsia="zh-CN"/>
                <w14:textFill>
                  <w14:solidFill>
                    <w14:schemeClr w14:val="tx1"/>
                  </w14:solidFill>
                </w14:textFill>
              </w:rPr>
              <w:t>（</w:t>
            </w:r>
            <w:r>
              <w:rPr>
                <w:rFonts w:hint="eastAsia" w:ascii="宋体" w:hAnsi="宋体" w:eastAsia="宋体"/>
                <w:color w:val="000000" w:themeColor="text1"/>
                <w:kern w:val="0"/>
                <w:sz w:val="18"/>
                <w:szCs w:val="18"/>
                <w:highlight w:val="none"/>
                <w:lang w:val="en-US" w:eastAsia="zh-CN"/>
                <w14:textFill>
                  <w14:solidFill>
                    <w14:schemeClr w14:val="tx1"/>
                  </w14:solidFill>
                </w14:textFill>
              </w:rPr>
              <w:t>总</w:t>
            </w:r>
            <w:r>
              <w:rPr>
                <w:rFonts w:hint="eastAsia" w:ascii="宋体" w:hAnsi="宋体" w:eastAsia="宋体"/>
                <w:color w:val="000000" w:themeColor="text1"/>
                <w:kern w:val="0"/>
                <w:sz w:val="18"/>
                <w:szCs w:val="18"/>
                <w:highlight w:val="none"/>
                <w:lang w:eastAsia="zh-CN"/>
                <w14:textFill>
                  <w14:solidFill>
                    <w14:schemeClr w14:val="tx1"/>
                  </w14:solidFill>
                </w14:textFill>
              </w:rPr>
              <w:t>）</w:t>
            </w:r>
          </w:p>
        </w:tc>
      </w:tr>
      <w:tr>
        <w:tblPrEx>
          <w:tblLayout w:type="fixed"/>
          <w:tblCellMar>
            <w:top w:w="0" w:type="dxa"/>
            <w:left w:w="108" w:type="dxa"/>
            <w:bottom w:w="0" w:type="dxa"/>
            <w:right w:w="108" w:type="dxa"/>
          </w:tblCellMar>
        </w:tblPrEx>
        <w:trPr>
          <w:trHeight w:val="375" w:hRule="atLeast"/>
        </w:trPr>
        <w:tc>
          <w:tcPr>
            <w:tcW w:w="1256"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1319"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p>
        </w:tc>
        <w:tc>
          <w:tcPr>
            <w:tcW w:w="271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私家车（电动）</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b w:val="0"/>
                <w:bCs/>
                <w:color w:val="000000" w:themeColor="text1"/>
                <w:kern w:val="0"/>
                <w:sz w:val="18"/>
                <w:szCs w:val="18"/>
                <w:highlight w:val="none"/>
                <w:lang w:val="en-US" w:eastAsia="zh-CN"/>
                <w14:textFill>
                  <w14:solidFill>
                    <w14:schemeClr w14:val="tx1"/>
                  </w14:solidFill>
                </w14:textFill>
              </w:rPr>
              <w:t>0.00</w:t>
            </w:r>
          </w:p>
        </w:tc>
        <w:tc>
          <w:tcPr>
            <w:tcW w:w="143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olor w:val="000000" w:themeColor="text1"/>
                <w:kern w:val="0"/>
                <w:sz w:val="18"/>
                <w:szCs w:val="18"/>
                <w:highlight w:val="none"/>
                <w14:textFill>
                  <w14:solidFill>
                    <w14:schemeClr w14:val="tx1"/>
                  </w14:solidFill>
                </w14:textFill>
              </w:rPr>
            </w:pPr>
            <w:r>
              <w:rPr>
                <w:rFonts w:hint="eastAsia" w:ascii="宋体" w:hAnsi="宋体" w:eastAsia="宋体"/>
                <w:color w:val="000000" w:themeColor="text1"/>
                <w:kern w:val="0"/>
                <w:sz w:val="18"/>
                <w:szCs w:val="18"/>
                <w:highlight w:val="none"/>
                <w14:textFill>
                  <w14:solidFill>
                    <w14:schemeClr w14:val="tx1"/>
                  </w14:solidFill>
                </w14:textFill>
              </w:rPr>
              <w:t>千米</w:t>
            </w:r>
            <w:r>
              <w:rPr>
                <w:rFonts w:hint="eastAsia" w:ascii="宋体" w:hAnsi="宋体" w:eastAsia="宋体"/>
                <w:color w:val="000000" w:themeColor="text1"/>
                <w:kern w:val="0"/>
                <w:sz w:val="18"/>
                <w:szCs w:val="18"/>
                <w:highlight w:val="none"/>
                <w:lang w:eastAsia="zh-CN"/>
                <w14:textFill>
                  <w14:solidFill>
                    <w14:schemeClr w14:val="tx1"/>
                  </w14:solidFill>
                </w14:textFill>
              </w:rPr>
              <w:t>（</w:t>
            </w:r>
            <w:r>
              <w:rPr>
                <w:rFonts w:hint="eastAsia" w:ascii="宋体" w:hAnsi="宋体" w:eastAsia="宋体"/>
                <w:color w:val="000000" w:themeColor="text1"/>
                <w:kern w:val="0"/>
                <w:sz w:val="18"/>
                <w:szCs w:val="18"/>
                <w:highlight w:val="none"/>
                <w:lang w:val="en-US" w:eastAsia="zh-CN"/>
                <w14:textFill>
                  <w14:solidFill>
                    <w14:schemeClr w14:val="tx1"/>
                  </w14:solidFill>
                </w14:textFill>
              </w:rPr>
              <w:t>总</w:t>
            </w:r>
            <w:r>
              <w:rPr>
                <w:rFonts w:hint="eastAsia" w:ascii="宋体" w:hAnsi="宋体" w:eastAsia="宋体"/>
                <w:color w:val="000000" w:themeColor="text1"/>
                <w:kern w:val="0"/>
                <w:sz w:val="18"/>
                <w:szCs w:val="18"/>
                <w:highlight w:val="none"/>
                <w:lang w:eastAsia="zh-CN"/>
                <w14:textFill>
                  <w14:solidFill>
                    <w14:schemeClr w14:val="tx1"/>
                  </w14:solidFill>
                </w14:textFill>
              </w:rPr>
              <w:t>）</w:t>
            </w:r>
          </w:p>
        </w:tc>
      </w:tr>
    </w:tbl>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23" w:name="_Toc175305007"/>
      <w:r>
        <w:rPr>
          <w:rFonts w:hint="eastAsia" w:ascii="黑体" w:hAnsi="黑体" w:eastAsia="黑体" w:cs="黑体"/>
          <w:b w:val="0"/>
          <w:bCs w:val="0"/>
          <w:color w:val="000000"/>
          <w:sz w:val="28"/>
          <w:szCs w:val="28"/>
          <w:highlight w:val="none"/>
          <w:lang w:val="en-US" w:eastAsia="zh-CN"/>
        </w:rPr>
        <w:t>6.2 自身经营的碳排放</w:t>
      </w:r>
      <w:bookmarkEnd w:id="23"/>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6.2.1 范围一：经营活动的直接碳排放</w:t>
      </w:r>
    </w:p>
    <w:p>
      <w:pPr>
        <w:widowControl/>
        <w:kinsoku w:val="0"/>
        <w:autoSpaceDE w:val="0"/>
        <w:autoSpaceDN w:val="0"/>
        <w:adjustRightInd w:val="0"/>
        <w:snapToGrid w:val="0"/>
        <w:spacing w:before="217" w:beforeLines="50" w:line="240" w:lineRule="auto"/>
        <w:ind w:firstLine="504"/>
        <w:textAlignment w:val="baseline"/>
        <w:rPr>
          <w:color w:val="000000" w:themeColor="text1"/>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报告年度内本行自身经营活动的直接碳排放总量为</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color w:val="000000"/>
          <w:spacing w:val="6"/>
          <w:sz w:val="24"/>
          <w:u w:val="single" w:color="auto"/>
        </w:rPr>
        <w:t xml:space="preserve">175.28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e（吨二氧化碳当量，下同）</w:t>
      </w:r>
      <w:r>
        <w:rPr>
          <w:rFonts w:hint="eastAsia" w:ascii="仿宋" w:hAnsi="仿宋" w:eastAsia="仿宋" w:cs="仿宋"/>
          <w:snapToGrid w:val="0"/>
          <w:color w:val="000000" w:themeColor="text1"/>
          <w:spacing w:val="6"/>
          <w:kern w:val="0"/>
          <w:sz w:val="24"/>
          <w:szCs w:val="24"/>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6.2.2 范围二：经营活动的间接碳排放</w:t>
      </w:r>
    </w:p>
    <w:p>
      <w:pPr>
        <w:widowControl/>
        <w:kinsoku w:val="0"/>
        <w:autoSpaceDE w:val="0"/>
        <w:autoSpaceDN w:val="0"/>
        <w:adjustRightInd w:val="0"/>
        <w:snapToGrid w:val="0"/>
        <w:spacing w:before="217" w:beforeLines="50" w:line="240" w:lineRule="auto"/>
        <w:ind w:firstLine="504"/>
        <w:textAlignment w:val="baseline"/>
        <w:rPr>
          <w:color w:val="000000" w:themeColor="text1"/>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报告年度内本行自身经营活动的间接碳排放总量为</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color w:val="000000"/>
          <w:spacing w:val="6"/>
          <w:sz w:val="24"/>
          <w:u w:val="single" w:color="auto"/>
        </w:rPr>
        <w:t xml:space="preserve">1203.01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e，排放源主要来自于本行营业办公消耗的外部输入的电力</w:t>
      </w:r>
      <w:r>
        <w:rPr>
          <w:rFonts w:hint="eastAsia" w:ascii="仿宋" w:hAnsi="仿宋" w:eastAsia="仿宋" w:cs="仿宋"/>
          <w:snapToGrid w:val="0"/>
          <w:color w:val="000000" w:themeColor="text1"/>
          <w:spacing w:val="6"/>
          <w:kern w:val="0"/>
          <w:sz w:val="24"/>
          <w:szCs w:val="24"/>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6.2.3 范围三：经营活动的价值链碳排放</w:t>
      </w:r>
    </w:p>
    <w:p>
      <w:pPr>
        <w:widowControl/>
        <w:kinsoku w:val="0"/>
        <w:autoSpaceDE w:val="0"/>
        <w:autoSpaceDN w:val="0"/>
        <w:adjustRightInd w:val="0"/>
        <w:snapToGrid w:val="0"/>
        <w:spacing w:before="217" w:beforeLines="50" w:line="240" w:lineRule="auto"/>
        <w:ind w:firstLine="504"/>
        <w:textAlignment w:val="baseline"/>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本行自身经营的价值链碳排放（范围三（不含投资））为</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color w:val="000000"/>
          <w:spacing w:val="6"/>
          <w:sz w:val="24"/>
          <w:u w:val="single" w:color="auto"/>
        </w:rPr>
        <w:t xml:space="preserve">330.16904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e。其中，购买商品与服务产生的碳排放</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color w:val="000000"/>
          <w:spacing w:val="6"/>
          <w:sz w:val="24"/>
          <w:u w:val="single" w:color="auto"/>
        </w:rPr>
        <w:t xml:space="preserve">207.12103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e，上游运输和配送产生的碳排放</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color w:val="000000"/>
          <w:spacing w:val="6"/>
          <w:sz w:val="24"/>
          <w:u w:val="single" w:color="auto"/>
        </w:rPr>
        <w:t xml:space="preserve">38.097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e，运营中产生的废弃物产生的碳排放</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2.85327</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e，差旅产生的碳排放</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18.95954</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e，员工通勤产生的碳排放</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43.9725</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w:t>
      </w:r>
      <w:r>
        <w:rPr>
          <w:rFonts w:hint="eastAsia" w:ascii="仿宋" w:hAnsi="仿宋" w:eastAsia="仿宋" w:cs="仿宋"/>
          <w:snapToGrid w:val="0"/>
          <w:color w:val="000000" w:themeColor="text1"/>
          <w:spacing w:val="6"/>
          <w:kern w:val="0"/>
          <w:sz w:val="24"/>
          <w:szCs w:val="24"/>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6.2.4 经营活动碳排放强度</w:t>
      </w:r>
    </w:p>
    <w:p>
      <w:pPr>
        <w:spacing w:line="240" w:lineRule="auto"/>
        <w:ind w:firstLine="504"/>
        <w:rPr>
          <w:rFonts w:ascii="仿宋" w:hAnsi="仿宋" w:eastAsia="仿宋" w:cs="仿宋"/>
          <w:snapToGrid w:val="0"/>
          <w:color w:val="000000" w:themeColor="text1"/>
          <w:spacing w:val="6"/>
          <w:kern w:val="0"/>
          <w:sz w:val="24"/>
          <w:szCs w:val="24"/>
          <w14:textFill>
            <w14:solidFill>
              <w14:schemeClr w14:val="tx1"/>
            </w14:solidFill>
          </w14:textFill>
        </w:rPr>
        <w:sectPr>
          <w:pgSz w:w="11906" w:h="16838"/>
          <w:pgMar w:top="1440" w:right="1800" w:bottom="1440" w:left="1800" w:header="851" w:footer="992" w:gutter="0"/>
          <w:pgNumType w:fmt="decimal"/>
          <w:cols w:space="720" w:num="1"/>
          <w:titlePg/>
          <w:docGrid w:type="lines" w:linePitch="435" w:charSpace="0"/>
        </w:sect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本行自身经营碳排放总量（不含范围三）为</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color w:val="000000" w:themeColor="text1"/>
          <w:spacing w:val="6"/>
          <w:sz w:val="24"/>
          <w:u w:val="single"/>
          <w:lang w:val="en-US" w:eastAsia="zh-CN"/>
          <w14:textFill>
            <w14:solidFill>
              <w14:schemeClr w14:val="tx1"/>
            </w14:solidFill>
          </w14:textFill>
        </w:rPr>
        <w:t>1378.29</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e，人均碳排放为</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color w:val="000000" w:themeColor="text1"/>
          <w:spacing w:val="6"/>
          <w:sz w:val="24"/>
          <w:u w:val="single"/>
          <w:lang w:val="en-US" w:eastAsia="zh-CN"/>
          <w14:textFill>
            <w14:solidFill>
              <w14:schemeClr w14:val="tx1"/>
            </w14:solidFill>
          </w14:textFill>
        </w:rPr>
        <w:t>1.6064</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e/人，单位面积碳排放为</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0.01566</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e/平方米</w:t>
      </w:r>
      <w:r>
        <w:rPr>
          <w:rFonts w:hint="eastAsia" w:ascii="仿宋" w:hAnsi="仿宋" w:eastAsia="仿宋" w:cs="仿宋"/>
          <w:snapToGrid w:val="0"/>
          <w:color w:val="000000" w:themeColor="text1"/>
          <w:spacing w:val="6"/>
          <w:kern w:val="0"/>
          <w:sz w:val="24"/>
          <w:szCs w:val="24"/>
          <w14:textFill>
            <w14:solidFill>
              <w14:schemeClr w14:val="tx1"/>
            </w14:solidFill>
          </w14:textFill>
        </w:rPr>
        <w:t>。</w:t>
      </w:r>
    </w:p>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6-2经营活动碳排放（范围一+范围二）</w:t>
      </w:r>
    </w:p>
    <w:tbl>
      <w:tblPr>
        <w:tblStyle w:val="22"/>
        <w:tblW w:w="13998" w:type="dxa"/>
        <w:tblInd w:w="0" w:type="dxa"/>
        <w:tblLayout w:type="fixed"/>
        <w:tblCellMar>
          <w:top w:w="0" w:type="dxa"/>
          <w:left w:w="108" w:type="dxa"/>
          <w:bottom w:w="0" w:type="dxa"/>
          <w:right w:w="108" w:type="dxa"/>
        </w:tblCellMar>
      </w:tblPr>
      <w:tblGrid>
        <w:gridCol w:w="3689"/>
        <w:gridCol w:w="1330"/>
        <w:gridCol w:w="1436"/>
        <w:gridCol w:w="1240"/>
        <w:gridCol w:w="986"/>
        <w:gridCol w:w="1496"/>
        <w:gridCol w:w="1822"/>
        <w:gridCol w:w="1999"/>
      </w:tblGrid>
      <w:tr>
        <w:tblPrEx>
          <w:tblLayout w:type="fixed"/>
          <w:tblCellMar>
            <w:top w:w="0" w:type="dxa"/>
            <w:left w:w="108" w:type="dxa"/>
            <w:bottom w:w="0" w:type="dxa"/>
            <w:right w:w="108" w:type="dxa"/>
          </w:tblCellMar>
        </w:tblPrEx>
        <w:trPr>
          <w:cantSplit/>
          <w:trHeight w:val="432" w:hRule="atLeast"/>
          <w:tblHeader/>
        </w:trPr>
        <w:tc>
          <w:tcPr>
            <w:tcW w:w="368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核算要素</w:t>
            </w:r>
          </w:p>
        </w:tc>
        <w:tc>
          <w:tcPr>
            <w:tcW w:w="133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核算细项</w:t>
            </w:r>
          </w:p>
        </w:tc>
        <w:tc>
          <w:tcPr>
            <w:tcW w:w="143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数量对应单位</w:t>
            </w:r>
          </w:p>
        </w:tc>
        <w:tc>
          <w:tcPr>
            <w:tcW w:w="7543" w:type="dxa"/>
            <w:gridSpan w:val="5"/>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2023年</w:t>
            </w:r>
          </w:p>
        </w:tc>
      </w:tr>
      <w:tr>
        <w:tblPrEx>
          <w:tblLayout w:type="fixed"/>
          <w:tblCellMar>
            <w:top w:w="0" w:type="dxa"/>
            <w:left w:w="108" w:type="dxa"/>
            <w:bottom w:w="0" w:type="dxa"/>
            <w:right w:w="108" w:type="dxa"/>
          </w:tblCellMar>
        </w:tblPrEx>
        <w:trPr>
          <w:cantSplit/>
          <w:trHeight w:val="1054" w:hRule="atLeast"/>
          <w:tblHeader/>
        </w:trPr>
        <w:tc>
          <w:tcPr>
            <w:tcW w:w="368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left"/>
              <w:rPr>
                <w:rFonts w:ascii="宋体" w:hAnsi="宋体" w:eastAsia="宋体"/>
                <w:b/>
                <w:bCs/>
                <w:color w:val="000000" w:themeColor="text1"/>
                <w:kern w:val="0"/>
                <w:sz w:val="18"/>
                <w:szCs w:val="18"/>
                <w14:textFill>
                  <w14:solidFill>
                    <w14:schemeClr w14:val="tx1"/>
                  </w14:solidFill>
                </w14:textFill>
              </w:rPr>
            </w:pPr>
          </w:p>
        </w:tc>
        <w:tc>
          <w:tcPr>
            <w:tcW w:w="133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left"/>
              <w:rPr>
                <w:rFonts w:ascii="宋体" w:hAnsi="宋体" w:eastAsia="宋体"/>
                <w:b/>
                <w:bCs/>
                <w:color w:val="000000" w:themeColor="text1"/>
                <w:kern w:val="0"/>
                <w:sz w:val="18"/>
                <w:szCs w:val="18"/>
                <w14:textFill>
                  <w14:solidFill>
                    <w14:schemeClr w14:val="tx1"/>
                  </w14:solidFill>
                </w14:textFill>
              </w:rPr>
            </w:pPr>
          </w:p>
        </w:tc>
        <w:tc>
          <w:tcPr>
            <w:tcW w:w="1436"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left"/>
              <w:rPr>
                <w:rFonts w:ascii="宋体" w:hAnsi="宋体" w:eastAsia="宋体"/>
                <w:b/>
                <w:bCs/>
                <w:color w:val="000000" w:themeColor="text1"/>
                <w:kern w:val="0"/>
                <w:sz w:val="18"/>
                <w:szCs w:val="18"/>
                <w14:textFill>
                  <w14:solidFill>
                    <w14:schemeClr w14:val="tx1"/>
                  </w14:solidFill>
                </w14:textFill>
              </w:rPr>
            </w:pPr>
          </w:p>
        </w:tc>
        <w:tc>
          <w:tcPr>
            <w:tcW w:w="124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数量</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人均数量</w:t>
            </w:r>
          </w:p>
        </w:tc>
        <w:tc>
          <w:tcPr>
            <w:tcW w:w="1496"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碳排放</w:t>
            </w:r>
          </w:p>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w:t>
            </w: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r>
              <w:rPr>
                <w:rFonts w:hint="eastAsia" w:ascii="宋体" w:hAnsi="宋体" w:eastAsia="宋体"/>
                <w:b/>
                <w:bCs/>
                <w:color w:val="000000" w:themeColor="text1"/>
                <w:kern w:val="0"/>
                <w:sz w:val="18"/>
                <w:szCs w:val="18"/>
                <w14:textFill>
                  <w14:solidFill>
                    <w14:schemeClr w14:val="tx1"/>
                  </w14:solidFill>
                </w14:textFill>
              </w:rPr>
              <w:t>）</w:t>
            </w:r>
          </w:p>
        </w:tc>
        <w:tc>
          <w:tcPr>
            <w:tcW w:w="182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人均碳排放</w:t>
            </w:r>
          </w:p>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w:t>
            </w: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r>
              <w:rPr>
                <w:rFonts w:hint="eastAsia" w:ascii="宋体" w:hAnsi="宋体" w:eastAsia="宋体"/>
                <w:b/>
                <w:bCs/>
                <w:color w:val="000000" w:themeColor="text1"/>
                <w:kern w:val="0"/>
                <w:sz w:val="18"/>
                <w:szCs w:val="18"/>
                <w14:textFill>
                  <w14:solidFill>
                    <w14:schemeClr w14:val="tx1"/>
                  </w14:solidFill>
                </w14:textFill>
              </w:rPr>
              <w:t>/人）</w:t>
            </w:r>
          </w:p>
        </w:tc>
        <w:tc>
          <w:tcPr>
            <w:tcW w:w="199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单位面积碳排放（</w:t>
            </w: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r>
              <w:rPr>
                <w:rFonts w:hint="eastAsia" w:ascii="宋体" w:hAnsi="宋体" w:eastAsia="宋体"/>
                <w:b/>
                <w:bCs/>
                <w:color w:val="000000" w:themeColor="text1"/>
                <w:kern w:val="0"/>
                <w:sz w:val="18"/>
                <w:szCs w:val="18"/>
                <w14:textFill>
                  <w14:solidFill>
                    <w14:schemeClr w14:val="tx1"/>
                  </w14:solidFill>
                </w14:textFill>
              </w:rPr>
              <w:t>/平方米）</w:t>
            </w:r>
          </w:p>
        </w:tc>
      </w:tr>
      <w:tr>
        <w:tblPrEx>
          <w:tblLayout w:type="fixed"/>
          <w:tblCellMar>
            <w:top w:w="0" w:type="dxa"/>
            <w:left w:w="108" w:type="dxa"/>
            <w:bottom w:w="0" w:type="dxa"/>
            <w:right w:w="108" w:type="dxa"/>
          </w:tblCellMar>
        </w:tblPrEx>
        <w:trPr>
          <w:cantSplit/>
          <w:trHeight w:val="432" w:hRule="atLeast"/>
        </w:trPr>
        <w:tc>
          <w:tcPr>
            <w:tcW w:w="5019"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员工总人数</w:t>
            </w:r>
          </w:p>
        </w:tc>
        <w:tc>
          <w:tcPr>
            <w:tcW w:w="143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人</w:t>
            </w:r>
          </w:p>
        </w:tc>
        <w:tc>
          <w:tcPr>
            <w:tcW w:w="124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858</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49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8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9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cantSplit/>
          <w:trHeight w:val="90" w:hRule="atLeast"/>
        </w:trPr>
        <w:tc>
          <w:tcPr>
            <w:tcW w:w="5019"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办公总面积</w:t>
            </w:r>
          </w:p>
        </w:tc>
        <w:tc>
          <w:tcPr>
            <w:tcW w:w="143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平方米</w:t>
            </w:r>
          </w:p>
        </w:tc>
        <w:tc>
          <w:tcPr>
            <w:tcW w:w="124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88000</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49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8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9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cantSplit/>
          <w:trHeight w:val="854" w:hRule="atLeast"/>
        </w:trPr>
        <w:tc>
          <w:tcPr>
            <w:tcW w:w="5019"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能源直接及间接温室气体排放总量（范围一+范围二）</w:t>
            </w:r>
          </w:p>
        </w:tc>
        <w:tc>
          <w:tcPr>
            <w:tcW w:w="143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p>
        </w:tc>
        <w:tc>
          <w:tcPr>
            <w:tcW w:w="124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1378.29</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49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8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1.6064</w:t>
            </w:r>
          </w:p>
        </w:tc>
        <w:tc>
          <w:tcPr>
            <w:tcW w:w="19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0.01566</w:t>
            </w:r>
          </w:p>
        </w:tc>
      </w:tr>
      <w:tr>
        <w:tblPrEx>
          <w:tblLayout w:type="fixed"/>
          <w:tblCellMar>
            <w:top w:w="0" w:type="dxa"/>
            <w:left w:w="108" w:type="dxa"/>
            <w:bottom w:w="0" w:type="dxa"/>
            <w:right w:w="108" w:type="dxa"/>
          </w:tblCellMar>
        </w:tblPrEx>
        <w:trPr>
          <w:cantSplit/>
          <w:trHeight w:val="432" w:hRule="atLeast"/>
        </w:trPr>
        <w:tc>
          <w:tcPr>
            <w:tcW w:w="5019"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直接温室气体排放量（范围一）</w:t>
            </w:r>
          </w:p>
        </w:tc>
        <w:tc>
          <w:tcPr>
            <w:tcW w:w="143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p>
        </w:tc>
        <w:tc>
          <w:tcPr>
            <w:tcW w:w="124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175.28</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49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8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9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cantSplit/>
          <w:trHeight w:val="432" w:hRule="atLeast"/>
        </w:trPr>
        <w:tc>
          <w:tcPr>
            <w:tcW w:w="3689"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营业办公（含固定源、移动源）和采暖（制冷）设备消耗的化石能源</w:t>
            </w:r>
          </w:p>
        </w:tc>
        <w:tc>
          <w:tcPr>
            <w:tcW w:w="133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无烟煤</w:t>
            </w:r>
          </w:p>
        </w:tc>
        <w:tc>
          <w:tcPr>
            <w:tcW w:w="143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t</w:t>
            </w:r>
          </w:p>
        </w:tc>
        <w:tc>
          <w:tcPr>
            <w:tcW w:w="124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49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8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9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cantSplit/>
          <w:trHeight w:val="432" w:hRule="atLeast"/>
        </w:trPr>
        <w:tc>
          <w:tcPr>
            <w:tcW w:w="3689"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营业办公（含固定源、移动源）和采暖（制冷）设备消耗的化石能源</w:t>
            </w:r>
          </w:p>
        </w:tc>
        <w:tc>
          <w:tcPr>
            <w:tcW w:w="133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柴油</w:t>
            </w:r>
          </w:p>
        </w:tc>
        <w:tc>
          <w:tcPr>
            <w:tcW w:w="143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t</w:t>
            </w:r>
          </w:p>
        </w:tc>
        <w:tc>
          <w:tcPr>
            <w:tcW w:w="124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49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8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9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cantSplit/>
          <w:trHeight w:val="432" w:hRule="atLeast"/>
        </w:trPr>
        <w:tc>
          <w:tcPr>
            <w:tcW w:w="3689"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营业办公（含固定源、移动源）和采暖（制冷）设备消耗的化石能源</w:t>
            </w:r>
          </w:p>
        </w:tc>
        <w:tc>
          <w:tcPr>
            <w:tcW w:w="133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汽油</w:t>
            </w:r>
          </w:p>
        </w:tc>
        <w:tc>
          <w:tcPr>
            <w:tcW w:w="143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t</w:t>
            </w:r>
          </w:p>
        </w:tc>
        <w:tc>
          <w:tcPr>
            <w:tcW w:w="124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23</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0.02681</w:t>
            </w:r>
          </w:p>
        </w:tc>
        <w:tc>
          <w:tcPr>
            <w:tcW w:w="149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69.98</w:t>
            </w:r>
          </w:p>
        </w:tc>
        <w:tc>
          <w:tcPr>
            <w:tcW w:w="18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9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cantSplit/>
          <w:trHeight w:val="432" w:hRule="atLeast"/>
        </w:trPr>
        <w:tc>
          <w:tcPr>
            <w:tcW w:w="3689"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营业办公（含固定源、移动源）和采暖（制冷）设备消耗的化石能源</w:t>
            </w:r>
          </w:p>
        </w:tc>
        <w:tc>
          <w:tcPr>
            <w:tcW w:w="133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天然气</w:t>
            </w:r>
          </w:p>
        </w:tc>
        <w:tc>
          <w:tcPr>
            <w:tcW w:w="143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万Nm3</w:t>
            </w:r>
          </w:p>
        </w:tc>
        <w:tc>
          <w:tcPr>
            <w:tcW w:w="124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4.87</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0.00568</w:t>
            </w:r>
          </w:p>
        </w:tc>
        <w:tc>
          <w:tcPr>
            <w:tcW w:w="149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105.3</w:t>
            </w:r>
          </w:p>
        </w:tc>
        <w:tc>
          <w:tcPr>
            <w:tcW w:w="18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9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cantSplit/>
          <w:trHeight w:val="709" w:hRule="atLeast"/>
        </w:trPr>
        <w:tc>
          <w:tcPr>
            <w:tcW w:w="5019"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能源间接温室气体排放量（范围二）</w:t>
            </w:r>
          </w:p>
        </w:tc>
        <w:tc>
          <w:tcPr>
            <w:tcW w:w="143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p>
        </w:tc>
        <w:tc>
          <w:tcPr>
            <w:tcW w:w="124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1203.01</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49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8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9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cantSplit/>
          <w:trHeight w:val="432" w:hRule="atLeast"/>
        </w:trPr>
        <w:tc>
          <w:tcPr>
            <w:tcW w:w="3689"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消耗的外部输入的电力、热、冷或蒸汽</w:t>
            </w:r>
          </w:p>
        </w:tc>
        <w:tc>
          <w:tcPr>
            <w:tcW w:w="133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电力</w:t>
            </w:r>
          </w:p>
        </w:tc>
        <w:tc>
          <w:tcPr>
            <w:tcW w:w="143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MWh</w:t>
            </w:r>
          </w:p>
        </w:tc>
        <w:tc>
          <w:tcPr>
            <w:tcW w:w="124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2007.7</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2.33998</w:t>
            </w:r>
          </w:p>
        </w:tc>
        <w:tc>
          <w:tcPr>
            <w:tcW w:w="149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1203.01</w:t>
            </w:r>
          </w:p>
        </w:tc>
        <w:tc>
          <w:tcPr>
            <w:tcW w:w="18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9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cantSplit/>
          <w:trHeight w:val="442" w:hRule="atLeast"/>
        </w:trPr>
        <w:tc>
          <w:tcPr>
            <w:tcW w:w="3689"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消耗的外部输入的电力、热、冷或蒸汽</w:t>
            </w:r>
          </w:p>
        </w:tc>
        <w:tc>
          <w:tcPr>
            <w:tcW w:w="133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热力</w:t>
            </w:r>
          </w:p>
        </w:tc>
        <w:tc>
          <w:tcPr>
            <w:tcW w:w="143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GJ</w:t>
            </w:r>
          </w:p>
        </w:tc>
        <w:tc>
          <w:tcPr>
            <w:tcW w:w="124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98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496"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8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c>
          <w:tcPr>
            <w:tcW w:w="19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bl>
    <w:p>
      <w:pPr>
        <w:ind w:firstLine="361"/>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br w:type="page"/>
      </w:r>
    </w:p>
    <w:p>
      <w:pPr>
        <w:widowControl/>
        <w:tabs>
          <w:tab w:val="left" w:pos="3119"/>
        </w:tabs>
        <w:spacing w:line="240" w:lineRule="auto"/>
        <w:ind w:firstLine="0" w:firstLineChars="0"/>
        <w:jc w:val="center"/>
        <w:rPr>
          <w:rFonts w:hint="eastAsia"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6-3经营活动碳排放（范围三）</w:t>
      </w:r>
    </w:p>
    <w:tbl>
      <w:tblPr>
        <w:tblStyle w:val="22"/>
        <w:tblW w:w="14171" w:type="dxa"/>
        <w:tblInd w:w="0" w:type="dxa"/>
        <w:tblLayout w:type="fixed"/>
        <w:tblCellMar>
          <w:top w:w="0" w:type="dxa"/>
          <w:left w:w="108" w:type="dxa"/>
          <w:bottom w:w="0" w:type="dxa"/>
          <w:right w:w="108" w:type="dxa"/>
        </w:tblCellMar>
      </w:tblPr>
      <w:tblGrid>
        <w:gridCol w:w="2618"/>
        <w:gridCol w:w="4546"/>
        <w:gridCol w:w="2124"/>
        <w:gridCol w:w="2261"/>
        <w:gridCol w:w="2622"/>
      </w:tblGrid>
      <w:tr>
        <w:tblPrEx>
          <w:tblLayout w:type="fixed"/>
          <w:tblCellMar>
            <w:top w:w="0" w:type="dxa"/>
            <w:left w:w="108" w:type="dxa"/>
            <w:bottom w:w="0" w:type="dxa"/>
            <w:right w:w="108" w:type="dxa"/>
          </w:tblCellMar>
        </w:tblPrEx>
        <w:trPr>
          <w:trHeight w:val="206" w:hRule="atLeast"/>
          <w:tblHeader/>
        </w:trPr>
        <w:tc>
          <w:tcPr>
            <w:tcW w:w="2618" w:type="dxa"/>
            <w:vMerge w:val="restart"/>
            <w:tcBorders>
              <w:top w:val="single" w:color="000000" w:sz="4" w:space="0"/>
              <w:left w:val="single" w:color="000000" w:sz="4" w:space="0"/>
              <w:bottom w:val="single" w:color="000000" w:sz="4" w:space="0"/>
              <w:right w:val="single" w:color="000000" w:sz="4" w:space="0"/>
            </w:tcBorders>
            <w:noWrap w:val="0"/>
            <w:vAlign w:val="center"/>
          </w:tcPr>
          <w:p>
            <w:r>
              <w:rPr>
                <w:rFonts w:ascii="宋体" w:hAnsi="宋体" w:eastAsia="宋体" w:cs="宋体"/>
                <w:b/>
                <w:sz w:val="18"/>
              </w:rPr>
              <w:t>核算要素</w:t>
            </w:r>
          </w:p>
        </w:tc>
        <w:tc>
          <w:tcPr>
            <w:tcW w:w="454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rPr>
                <w:rFonts w:hint="eastAsia" w:ascii="宋体" w:hAnsi="宋体" w:eastAsia="宋体" w:cs="宋体"/>
                <w:b/>
                <w:bCs w:val="0"/>
                <w:color w:val="000000" w:themeColor="text1"/>
                <w:kern w:val="0"/>
                <w:sz w:val="18"/>
                <w:szCs w:val="18"/>
                <w14:textFill>
                  <w14:solidFill>
                    <w14:schemeClr w14:val="tx1"/>
                  </w14:solidFill>
                </w14:textFill>
              </w:rPr>
            </w:pPr>
            <w:r>
              <w:rPr>
                <w:rFonts w:hint="eastAsia" w:ascii="宋体" w:hAnsi="宋体" w:eastAsia="宋体" w:cs="宋体"/>
                <w:b/>
                <w:bCs w:val="0"/>
                <w:color w:val="000000" w:themeColor="text1"/>
                <w:kern w:val="0"/>
                <w:sz w:val="18"/>
                <w:szCs w:val="18"/>
                <w14:textFill>
                  <w14:solidFill>
                    <w14:schemeClr w14:val="tx1"/>
                  </w14:solidFill>
                </w14:textFill>
              </w:rPr>
              <w:t>核算细项</w:t>
            </w:r>
          </w:p>
        </w:tc>
        <w:tc>
          <w:tcPr>
            <w:tcW w:w="7007" w:type="dxa"/>
            <w:gridSpan w:val="3"/>
            <w:tcBorders>
              <w:top w:val="single" w:color="000000" w:sz="4" w:space="0"/>
              <w:left w:val="single" w:color="auto" w:sz="4" w:space="0"/>
              <w:bottom w:val="single" w:color="000000" w:sz="4" w:space="0"/>
              <w:right w:val="single" w:color="000000" w:sz="4" w:space="0"/>
            </w:tcBorders>
            <w:noWrap w:val="0"/>
            <w:vAlign w:val="center"/>
          </w:tcPr>
          <w:p>
            <w:pPr>
              <w:spacing w:line="240" w:lineRule="auto"/>
              <w:ind w:firstLine="0" w:firstLineChars="0"/>
              <w:jc w:val="center"/>
              <w:rPr>
                <w:rFonts w:hint="eastAsia" w:ascii="宋体" w:hAnsi="宋体" w:eastAsia="宋体" w:cs="宋体"/>
                <w:b/>
                <w:bCs w:val="0"/>
                <w:color w:val="000000" w:themeColor="text1"/>
                <w:kern w:val="0"/>
                <w:sz w:val="18"/>
                <w:szCs w:val="18"/>
                <w14:textFill>
                  <w14:solidFill>
                    <w14:schemeClr w14:val="tx1"/>
                  </w14:solidFill>
                </w14:textFill>
              </w:rPr>
            </w:pPr>
            <w:r>
              <w:rPr>
                <w:rFonts w:hint="eastAsia" w:ascii="宋体" w:hAnsi="宋体" w:eastAsia="宋体" w:cs="宋体"/>
                <w:b/>
                <w:bCs w:val="0"/>
                <w:color w:val="000000"/>
                <w:kern w:val="0"/>
                <w:sz w:val="18"/>
                <w:szCs w:val="18"/>
                <w:lang w:val="en-US" w:eastAsia="zh-CN"/>
              </w:rPr>
              <w:t>2023</w:t>
            </w:r>
            <w:r>
              <w:rPr>
                <w:rFonts w:hint="eastAsia" w:ascii="宋体" w:hAnsi="宋体" w:eastAsia="宋体" w:cs="宋体"/>
                <w:b/>
                <w:bCs w:val="0"/>
                <w:color w:val="000000" w:themeColor="text1"/>
                <w:kern w:val="0"/>
                <w:sz w:val="18"/>
                <w:szCs w:val="18"/>
                <w14:textFill>
                  <w14:solidFill>
                    <w14:schemeClr w14:val="tx1"/>
                  </w14:solidFill>
                </w14:textFill>
              </w:rPr>
              <w:t>年</w:t>
            </w:r>
          </w:p>
        </w:tc>
      </w:tr>
      <w:tr>
        <w:tblPrEx>
          <w:tblLayout w:type="fixed"/>
          <w:tblCellMar>
            <w:top w:w="0" w:type="dxa"/>
            <w:left w:w="108" w:type="dxa"/>
            <w:bottom w:w="0" w:type="dxa"/>
            <w:right w:w="108" w:type="dxa"/>
          </w:tblCellMar>
        </w:tblPrEx>
        <w:trPr>
          <w:trHeight w:val="407" w:hRule="atLeast"/>
          <w:tblHeader/>
        </w:trPr>
        <w:tc>
          <w:tcPr>
            <w:tcW w:w="261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left"/>
              <w:rPr>
                <w:rFonts w:hint="eastAsia" w:ascii="宋体" w:hAnsi="宋体" w:eastAsia="宋体" w:cs="宋体"/>
                <w:b/>
                <w:bCs w:val="0"/>
                <w:color w:val="000000" w:themeColor="text1"/>
                <w:kern w:val="0"/>
                <w:sz w:val="18"/>
                <w:szCs w:val="18"/>
                <w14:textFill>
                  <w14:solidFill>
                    <w14:schemeClr w14:val="tx1"/>
                  </w14:solidFill>
                </w14:textFill>
              </w:rPr>
            </w:pPr>
          </w:p>
        </w:tc>
        <w:tc>
          <w:tcPr>
            <w:tcW w:w="454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left"/>
              <w:rPr>
                <w:rFonts w:hint="eastAsia" w:ascii="宋体" w:hAnsi="宋体" w:eastAsia="宋体" w:cs="宋体"/>
                <w:b/>
                <w:bCs w:val="0"/>
                <w:color w:val="000000" w:themeColor="text1"/>
                <w:kern w:val="0"/>
                <w:sz w:val="18"/>
                <w:szCs w:val="18"/>
                <w14:textFill>
                  <w14:solidFill>
                    <w14:schemeClr w14:val="tx1"/>
                  </w14:solidFill>
                </w14:textFill>
              </w:rPr>
            </w:pPr>
          </w:p>
        </w:tc>
        <w:tc>
          <w:tcPr>
            <w:tcW w:w="2124" w:type="dxa"/>
            <w:tcBorders>
              <w:top w:val="single" w:color="000000" w:sz="4" w:space="0"/>
              <w:left w:val="single" w:color="auto" w:sz="4" w:space="0"/>
              <w:bottom w:val="single" w:color="000000" w:sz="4" w:space="0"/>
              <w:right w:val="single" w:color="000000" w:sz="4" w:space="0"/>
            </w:tcBorders>
            <w:noWrap w:val="0"/>
            <w:vAlign w:val="center"/>
          </w:tcPr>
          <w:p>
            <w:pPr>
              <w:widowControl/>
              <w:spacing w:line="240" w:lineRule="auto"/>
              <w:ind w:firstLine="0" w:firstLineChars="0"/>
              <w:jc w:val="center"/>
              <w:rPr>
                <w:rFonts w:hint="eastAsia" w:ascii="宋体" w:hAnsi="宋体" w:eastAsia="宋体" w:cs="宋体"/>
                <w:b/>
                <w:bCs w:val="0"/>
                <w:color w:val="000000" w:themeColor="text1"/>
                <w:kern w:val="0"/>
                <w:sz w:val="18"/>
                <w:szCs w:val="18"/>
                <w14:textFill>
                  <w14:solidFill>
                    <w14:schemeClr w14:val="tx1"/>
                  </w14:solidFill>
                </w14:textFill>
              </w:rPr>
            </w:pPr>
            <w:r>
              <w:rPr>
                <w:rFonts w:hint="eastAsia" w:ascii="宋体" w:hAnsi="宋体" w:eastAsia="宋体" w:cs="宋体"/>
                <w:b/>
                <w:bCs w:val="0"/>
                <w:color w:val="000000" w:themeColor="text1"/>
                <w:kern w:val="0"/>
                <w:sz w:val="18"/>
                <w:szCs w:val="18"/>
                <w14:textFill>
                  <w14:solidFill>
                    <w14:schemeClr w14:val="tx1"/>
                  </w14:solidFill>
                </w14:textFill>
              </w:rPr>
              <w:t>碳排放量（</w:t>
            </w:r>
            <w:r>
              <w:rPr>
                <w:rFonts w:hint="default" w:ascii="宋体" w:hAnsi="宋体" w:eastAsia="宋体" w:cs="宋体"/>
                <w:b/>
                <w:bCs w:val="0"/>
                <w:color w:val="000000" w:themeColor="text1"/>
                <w:kern w:val="0"/>
                <w:sz w:val="18"/>
                <w:szCs w:val="18"/>
                <w:lang w:val="en-US"/>
                <w14:textFill>
                  <w14:solidFill>
                    <w14:schemeClr w14:val="tx1"/>
                  </w14:solidFill>
                </w14:textFill>
              </w:rPr>
              <w:t>tCO2e</w:t>
            </w:r>
            <w:r>
              <w:rPr>
                <w:rFonts w:hint="eastAsia" w:ascii="宋体" w:hAnsi="宋体" w:eastAsia="宋体" w:cs="宋体"/>
                <w:b/>
                <w:bCs w:val="0"/>
                <w:color w:val="000000" w:themeColor="text1"/>
                <w:kern w:val="0"/>
                <w:sz w:val="18"/>
                <w:szCs w:val="18"/>
                <w14:textFill>
                  <w14:solidFill>
                    <w14:schemeClr w14:val="tx1"/>
                  </w14:solidFill>
                </w14:textFill>
              </w:rPr>
              <w:t>）</w:t>
            </w:r>
          </w:p>
        </w:tc>
        <w:tc>
          <w:tcPr>
            <w:tcW w:w="22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rPr>
                <w:rFonts w:hint="eastAsia" w:ascii="宋体" w:hAnsi="宋体" w:eastAsia="宋体" w:cs="宋体"/>
                <w:b/>
                <w:bCs w:val="0"/>
                <w:color w:val="000000" w:themeColor="text1"/>
                <w:kern w:val="0"/>
                <w:sz w:val="18"/>
                <w:szCs w:val="18"/>
                <w14:textFill>
                  <w14:solidFill>
                    <w14:schemeClr w14:val="tx1"/>
                  </w14:solidFill>
                </w14:textFill>
              </w:rPr>
            </w:pPr>
            <w:r>
              <w:rPr>
                <w:rFonts w:hint="eastAsia" w:ascii="宋体" w:hAnsi="宋体" w:eastAsia="宋体" w:cs="宋体"/>
                <w:b/>
                <w:bCs w:val="0"/>
                <w:color w:val="000000" w:themeColor="text1"/>
                <w:kern w:val="0"/>
                <w:sz w:val="18"/>
                <w:szCs w:val="18"/>
                <w14:textFill>
                  <w14:solidFill>
                    <w14:schemeClr w14:val="tx1"/>
                  </w14:solidFill>
                </w14:textFill>
              </w:rPr>
              <w:t>人均碳排放量（</w:t>
            </w:r>
            <w:r>
              <w:rPr>
                <w:rFonts w:hint="default" w:ascii="宋体" w:hAnsi="宋体" w:eastAsia="宋体" w:cs="宋体"/>
                <w:b/>
                <w:bCs w:val="0"/>
                <w:color w:val="000000" w:themeColor="text1"/>
                <w:kern w:val="0"/>
                <w:sz w:val="18"/>
                <w:szCs w:val="18"/>
                <w:lang w:val="en-US"/>
                <w14:textFill>
                  <w14:solidFill>
                    <w14:schemeClr w14:val="tx1"/>
                  </w14:solidFill>
                </w14:textFill>
              </w:rPr>
              <w:t>tCO2e</w:t>
            </w:r>
            <w:r>
              <w:rPr>
                <w:rFonts w:hint="eastAsia" w:ascii="宋体" w:hAnsi="宋体" w:eastAsia="宋体" w:cs="宋体"/>
                <w:b/>
                <w:bCs w:val="0"/>
                <w:color w:val="000000" w:themeColor="text1"/>
                <w:kern w:val="0"/>
                <w:sz w:val="18"/>
                <w:szCs w:val="18"/>
                <w14:textFill>
                  <w14:solidFill>
                    <w14:schemeClr w14:val="tx1"/>
                  </w14:solidFill>
                </w14:textFill>
              </w:rPr>
              <w:t>/人）</w:t>
            </w:r>
          </w:p>
        </w:tc>
        <w:tc>
          <w:tcPr>
            <w:tcW w:w="262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rPr>
                <w:rFonts w:hint="eastAsia" w:ascii="宋体" w:hAnsi="宋体" w:eastAsia="宋体" w:cs="宋体"/>
                <w:b/>
                <w:bCs w:val="0"/>
                <w:color w:val="000000" w:themeColor="text1"/>
                <w:kern w:val="0"/>
                <w:sz w:val="18"/>
                <w:szCs w:val="18"/>
                <w14:textFill>
                  <w14:solidFill>
                    <w14:schemeClr w14:val="tx1"/>
                  </w14:solidFill>
                </w14:textFill>
              </w:rPr>
            </w:pPr>
            <w:r>
              <w:rPr>
                <w:rFonts w:hint="eastAsia" w:ascii="宋体" w:hAnsi="宋体" w:eastAsia="宋体" w:cs="宋体"/>
                <w:b/>
                <w:bCs w:val="0"/>
                <w:color w:val="000000" w:themeColor="text1"/>
                <w:kern w:val="0"/>
                <w:sz w:val="18"/>
                <w:szCs w:val="18"/>
                <w14:textFill>
                  <w14:solidFill>
                    <w14:schemeClr w14:val="tx1"/>
                  </w14:solidFill>
                </w14:textFill>
              </w:rPr>
              <w:t>单位面积碳排放量（</w:t>
            </w:r>
            <w:r>
              <w:rPr>
                <w:rFonts w:hint="default" w:ascii="宋体" w:hAnsi="宋体" w:eastAsia="宋体" w:cs="宋体"/>
                <w:b/>
                <w:bCs w:val="0"/>
                <w:color w:val="000000" w:themeColor="text1"/>
                <w:kern w:val="0"/>
                <w:sz w:val="18"/>
                <w:szCs w:val="18"/>
                <w:lang w:val="en-US"/>
                <w14:textFill>
                  <w14:solidFill>
                    <w14:schemeClr w14:val="tx1"/>
                  </w14:solidFill>
                </w14:textFill>
              </w:rPr>
              <w:t>tCO2e</w:t>
            </w:r>
            <w:r>
              <w:rPr>
                <w:rFonts w:hint="eastAsia" w:ascii="宋体" w:hAnsi="宋体" w:eastAsia="宋体" w:cs="宋体"/>
                <w:b/>
                <w:bCs w:val="0"/>
                <w:color w:val="000000" w:themeColor="text1"/>
                <w:kern w:val="0"/>
                <w:sz w:val="18"/>
                <w:szCs w:val="18"/>
                <w14:textFill>
                  <w14:solidFill>
                    <w14:schemeClr w14:val="tx1"/>
                  </w14:solidFill>
                </w14:textFill>
              </w:rPr>
              <w:t>/平方米）</w:t>
            </w:r>
          </w:p>
        </w:tc>
      </w:tr>
      <w:tr>
        <w:tblPrEx>
          <w:tblLayout w:type="fixed"/>
          <w:tblCellMar>
            <w:top w:w="0" w:type="dxa"/>
            <w:left w:w="108" w:type="dxa"/>
            <w:bottom w:w="0" w:type="dxa"/>
            <w:right w:w="108" w:type="dxa"/>
          </w:tblCellMar>
        </w:tblPrEx>
        <w:trPr>
          <w:trHeight w:val="682" w:hRule="atLeast"/>
        </w:trPr>
        <w:tc>
          <w:tcPr>
            <w:tcW w:w="7164"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其他间接温室气体排放（范围三（不含投资））</w:t>
            </w:r>
          </w:p>
        </w:tc>
        <w:tc>
          <w:tcPr>
            <w:tcW w:w="2124"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330.16904</w:t>
            </w:r>
          </w:p>
        </w:tc>
        <w:tc>
          <w:tcPr>
            <w:tcW w:w="2261"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0.38481</w:t>
            </w:r>
          </w:p>
        </w:tc>
        <w:tc>
          <w:tcPr>
            <w:tcW w:w="26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0.00375</w:t>
            </w:r>
          </w:p>
        </w:tc>
      </w:tr>
      <w:tr>
        <w:tblPrEx>
          <w:tblLayout w:type="fixed"/>
          <w:tblCellMar>
            <w:top w:w="0" w:type="dxa"/>
            <w:left w:w="108" w:type="dxa"/>
            <w:bottom w:w="0" w:type="dxa"/>
            <w:right w:w="108" w:type="dxa"/>
          </w:tblCellMar>
        </w:tblPrEx>
        <w:trPr>
          <w:trHeight w:val="682" w:hRule="atLeast"/>
        </w:trPr>
        <w:tc>
          <w:tcPr>
            <w:tcW w:w="2618"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45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3.1购买商品与服务</w:t>
            </w:r>
          </w:p>
        </w:tc>
        <w:tc>
          <w:tcPr>
            <w:tcW w:w="2124"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207.12103</w:t>
            </w:r>
          </w:p>
        </w:tc>
        <w:tc>
          <w:tcPr>
            <w:tcW w:w="2261"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26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tblPrEx>
          <w:tblLayout w:type="fixed"/>
          <w:tblCellMar>
            <w:top w:w="0" w:type="dxa"/>
            <w:left w:w="108" w:type="dxa"/>
            <w:bottom w:w="0" w:type="dxa"/>
            <w:right w:w="108" w:type="dxa"/>
          </w:tblCellMar>
        </w:tblPrEx>
        <w:trPr>
          <w:trHeight w:val="682" w:hRule="atLeast"/>
        </w:trPr>
        <w:tc>
          <w:tcPr>
            <w:tcW w:w="26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45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3.2资本商品</w:t>
            </w:r>
          </w:p>
        </w:tc>
        <w:tc>
          <w:tcPr>
            <w:tcW w:w="2124"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2261"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26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tblPrEx>
          <w:tblLayout w:type="fixed"/>
          <w:tblCellMar>
            <w:top w:w="0" w:type="dxa"/>
            <w:left w:w="108" w:type="dxa"/>
            <w:bottom w:w="0" w:type="dxa"/>
            <w:right w:w="108" w:type="dxa"/>
          </w:tblCellMar>
        </w:tblPrEx>
        <w:trPr>
          <w:trHeight w:val="682" w:hRule="atLeast"/>
        </w:trPr>
        <w:tc>
          <w:tcPr>
            <w:tcW w:w="26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45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3.3范围一、二中未包含的燃料和能源相关活动</w:t>
            </w:r>
          </w:p>
        </w:tc>
        <w:tc>
          <w:tcPr>
            <w:tcW w:w="2124"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19.1657</w:t>
            </w:r>
          </w:p>
        </w:tc>
        <w:tc>
          <w:tcPr>
            <w:tcW w:w="2261"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26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tblPrEx>
          <w:tblLayout w:type="fixed"/>
          <w:tblCellMar>
            <w:top w:w="0" w:type="dxa"/>
            <w:left w:w="108" w:type="dxa"/>
            <w:bottom w:w="0" w:type="dxa"/>
            <w:right w:w="108" w:type="dxa"/>
          </w:tblCellMar>
        </w:tblPrEx>
        <w:trPr>
          <w:trHeight w:val="682" w:hRule="atLeast"/>
        </w:trPr>
        <w:tc>
          <w:tcPr>
            <w:tcW w:w="26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45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3.4上游运输和配送</w:t>
            </w:r>
          </w:p>
        </w:tc>
        <w:tc>
          <w:tcPr>
            <w:tcW w:w="2124"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38.097</w:t>
            </w:r>
          </w:p>
        </w:tc>
        <w:tc>
          <w:tcPr>
            <w:tcW w:w="2261"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26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tblPrEx>
          <w:tblLayout w:type="fixed"/>
          <w:tblCellMar>
            <w:top w:w="0" w:type="dxa"/>
            <w:left w:w="108" w:type="dxa"/>
            <w:bottom w:w="0" w:type="dxa"/>
            <w:right w:w="108" w:type="dxa"/>
          </w:tblCellMar>
        </w:tblPrEx>
        <w:trPr>
          <w:trHeight w:val="682" w:hRule="atLeast"/>
        </w:trPr>
        <w:tc>
          <w:tcPr>
            <w:tcW w:w="26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45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3.5运营中产生的废物</w:t>
            </w:r>
          </w:p>
        </w:tc>
        <w:tc>
          <w:tcPr>
            <w:tcW w:w="2124"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2.85327</w:t>
            </w:r>
          </w:p>
        </w:tc>
        <w:tc>
          <w:tcPr>
            <w:tcW w:w="2261"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26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tblPrEx>
          <w:tblLayout w:type="fixed"/>
          <w:tblCellMar>
            <w:top w:w="0" w:type="dxa"/>
            <w:left w:w="108" w:type="dxa"/>
            <w:bottom w:w="0" w:type="dxa"/>
            <w:right w:w="108" w:type="dxa"/>
          </w:tblCellMar>
        </w:tblPrEx>
        <w:trPr>
          <w:trHeight w:val="682" w:hRule="atLeast"/>
        </w:trPr>
        <w:tc>
          <w:tcPr>
            <w:tcW w:w="26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45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3.6 差旅</w:t>
            </w:r>
          </w:p>
        </w:tc>
        <w:tc>
          <w:tcPr>
            <w:tcW w:w="2124"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18.95954</w:t>
            </w:r>
          </w:p>
        </w:tc>
        <w:tc>
          <w:tcPr>
            <w:tcW w:w="2261"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26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tblPrEx>
          <w:tblLayout w:type="fixed"/>
          <w:tblCellMar>
            <w:top w:w="0" w:type="dxa"/>
            <w:left w:w="108" w:type="dxa"/>
            <w:bottom w:w="0" w:type="dxa"/>
            <w:right w:w="108" w:type="dxa"/>
          </w:tblCellMar>
        </w:tblPrEx>
        <w:trPr>
          <w:trHeight w:val="682" w:hRule="atLeast"/>
        </w:trPr>
        <w:tc>
          <w:tcPr>
            <w:tcW w:w="26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45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3.7 员工通勤</w:t>
            </w:r>
          </w:p>
        </w:tc>
        <w:tc>
          <w:tcPr>
            <w:tcW w:w="2124"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43.9725</w:t>
            </w:r>
          </w:p>
        </w:tc>
        <w:tc>
          <w:tcPr>
            <w:tcW w:w="2261"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26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tblPrEx>
          <w:tblLayout w:type="fixed"/>
          <w:tblCellMar>
            <w:top w:w="0" w:type="dxa"/>
            <w:left w:w="108" w:type="dxa"/>
            <w:bottom w:w="0" w:type="dxa"/>
            <w:right w:w="108" w:type="dxa"/>
          </w:tblCellMar>
        </w:tblPrEx>
        <w:trPr>
          <w:trHeight w:val="682" w:hRule="atLeast"/>
        </w:trPr>
        <w:tc>
          <w:tcPr>
            <w:tcW w:w="26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上游排放</w:t>
            </w:r>
          </w:p>
        </w:tc>
        <w:tc>
          <w:tcPr>
            <w:tcW w:w="45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3.8上游租赁资产</w:t>
            </w:r>
          </w:p>
        </w:tc>
        <w:tc>
          <w:tcPr>
            <w:tcW w:w="2124"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2261"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26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tblPrEx>
          <w:tblLayout w:type="fixed"/>
          <w:tblCellMar>
            <w:top w:w="0" w:type="dxa"/>
            <w:left w:w="108" w:type="dxa"/>
            <w:bottom w:w="0" w:type="dxa"/>
            <w:right w:w="108" w:type="dxa"/>
          </w:tblCellMar>
        </w:tblPrEx>
        <w:trPr>
          <w:trHeight w:val="682" w:hRule="atLeast"/>
        </w:trPr>
        <w:tc>
          <w:tcPr>
            <w:tcW w:w="2618"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下游排放</w:t>
            </w:r>
          </w:p>
        </w:tc>
        <w:tc>
          <w:tcPr>
            <w:tcW w:w="45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3.9下游运输和配送</w:t>
            </w:r>
          </w:p>
        </w:tc>
        <w:tc>
          <w:tcPr>
            <w:tcW w:w="2124"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2261"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26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tblPrEx>
          <w:tblLayout w:type="fixed"/>
          <w:tblCellMar>
            <w:top w:w="0" w:type="dxa"/>
            <w:left w:w="108" w:type="dxa"/>
            <w:bottom w:w="0" w:type="dxa"/>
            <w:right w:w="108" w:type="dxa"/>
          </w:tblCellMar>
        </w:tblPrEx>
        <w:trPr>
          <w:trHeight w:val="682" w:hRule="atLeast"/>
        </w:trPr>
        <w:tc>
          <w:tcPr>
            <w:tcW w:w="26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下游排放</w:t>
            </w:r>
          </w:p>
        </w:tc>
        <w:tc>
          <w:tcPr>
            <w:tcW w:w="45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3.10售出产品的加工</w:t>
            </w:r>
          </w:p>
        </w:tc>
        <w:tc>
          <w:tcPr>
            <w:tcW w:w="2124"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2261"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26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tblPrEx>
          <w:tblLayout w:type="fixed"/>
          <w:tblCellMar>
            <w:top w:w="0" w:type="dxa"/>
            <w:left w:w="108" w:type="dxa"/>
            <w:bottom w:w="0" w:type="dxa"/>
            <w:right w:w="108" w:type="dxa"/>
          </w:tblCellMar>
        </w:tblPrEx>
        <w:trPr>
          <w:trHeight w:val="682" w:hRule="atLeast"/>
        </w:trPr>
        <w:tc>
          <w:tcPr>
            <w:tcW w:w="26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下游排放</w:t>
            </w:r>
          </w:p>
        </w:tc>
        <w:tc>
          <w:tcPr>
            <w:tcW w:w="45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3.11售出产品的使用</w:t>
            </w:r>
          </w:p>
        </w:tc>
        <w:tc>
          <w:tcPr>
            <w:tcW w:w="2124"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2261"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26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tblPrEx>
          <w:tblLayout w:type="fixed"/>
          <w:tblCellMar>
            <w:top w:w="0" w:type="dxa"/>
            <w:left w:w="108" w:type="dxa"/>
            <w:bottom w:w="0" w:type="dxa"/>
            <w:right w:w="108" w:type="dxa"/>
          </w:tblCellMar>
        </w:tblPrEx>
        <w:trPr>
          <w:trHeight w:val="682" w:hRule="atLeast"/>
        </w:trPr>
        <w:tc>
          <w:tcPr>
            <w:tcW w:w="26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下游排放</w:t>
            </w:r>
          </w:p>
        </w:tc>
        <w:tc>
          <w:tcPr>
            <w:tcW w:w="45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3.12售出产品的报废处理</w:t>
            </w:r>
          </w:p>
        </w:tc>
        <w:tc>
          <w:tcPr>
            <w:tcW w:w="2124"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2261"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26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tblPrEx>
          <w:tblLayout w:type="fixed"/>
          <w:tblCellMar>
            <w:top w:w="0" w:type="dxa"/>
            <w:left w:w="108" w:type="dxa"/>
            <w:bottom w:w="0" w:type="dxa"/>
            <w:right w:w="108" w:type="dxa"/>
          </w:tblCellMar>
        </w:tblPrEx>
        <w:trPr>
          <w:trHeight w:val="682" w:hRule="atLeast"/>
        </w:trPr>
        <w:tc>
          <w:tcPr>
            <w:tcW w:w="26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下游排放</w:t>
            </w:r>
          </w:p>
        </w:tc>
        <w:tc>
          <w:tcPr>
            <w:tcW w:w="45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3.13下游租赁资产</w:t>
            </w:r>
          </w:p>
        </w:tc>
        <w:tc>
          <w:tcPr>
            <w:tcW w:w="2124"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2261"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26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r>
        <w:tblPrEx>
          <w:tblLayout w:type="fixed"/>
          <w:tblCellMar>
            <w:top w:w="0" w:type="dxa"/>
            <w:left w:w="108" w:type="dxa"/>
            <w:bottom w:w="0" w:type="dxa"/>
            <w:right w:w="108" w:type="dxa"/>
          </w:tblCellMar>
        </w:tblPrEx>
        <w:trPr>
          <w:trHeight w:val="682" w:hRule="atLeast"/>
        </w:trPr>
        <w:tc>
          <w:tcPr>
            <w:tcW w:w="26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left"/>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下游排放</w:t>
            </w:r>
          </w:p>
        </w:tc>
        <w:tc>
          <w:tcPr>
            <w:tcW w:w="45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firstLine="360" w:firstLineChars="200"/>
              <w:jc w:val="center"/>
              <w:textAlignment w:val="center"/>
              <w:rPr>
                <w:rFonts w:hint="eastAsia" w:ascii="宋体" w:hAnsi="宋体" w:eastAsia="宋体" w:cs="宋体"/>
                <w:b w:val="0"/>
                <w:bCs/>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3.14特许经营权</w:t>
            </w:r>
          </w:p>
        </w:tc>
        <w:tc>
          <w:tcPr>
            <w:tcW w:w="2124"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0</w:t>
            </w:r>
          </w:p>
        </w:tc>
        <w:tc>
          <w:tcPr>
            <w:tcW w:w="2261"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c>
          <w:tcPr>
            <w:tcW w:w="2622"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hint="eastAsia" w:ascii="宋体" w:hAnsi="宋体" w:eastAsia="宋体" w:cs="宋体"/>
                <w:b w:val="0"/>
                <w:bCs/>
                <w:color w:val="000000" w:themeColor="text1"/>
                <w:kern w:val="0"/>
                <w:sz w:val="20"/>
                <w:szCs w:val="20"/>
                <w14:textFill>
                  <w14:solidFill>
                    <w14:schemeClr w14:val="tx1"/>
                  </w14:solidFill>
                </w14:textFill>
              </w:rPr>
            </w:pPr>
            <w:r>
              <w:rPr>
                <w:rFonts w:hint="eastAsia" w:ascii="宋体" w:hAnsi="宋体" w:eastAsia="宋体" w:cs="宋体"/>
                <w:b w:val="0"/>
                <w:bCs/>
                <w:kern w:val="0"/>
                <w:sz w:val="20"/>
                <w:szCs w:val="20"/>
                <w:lang w:val="en-US" w:eastAsia="zh-CN"/>
              </w:rPr>
              <w:t>/</w:t>
            </w:r>
          </w:p>
        </w:tc>
      </w:tr>
    </w:tbl>
    <w:p>
      <w:pPr>
        <w:ind w:firstLine="0" w:firstLineChars="0"/>
        <w:rPr>
          <w:rFonts w:ascii="宋体" w:hAnsi="宋体" w:eastAsia="宋体"/>
          <w:color w:val="000000" w:themeColor="text1"/>
          <w14:textFill>
            <w14:solidFill>
              <w14:schemeClr w14:val="tx1"/>
            </w14:solidFill>
          </w14:textFill>
        </w:rPr>
      </w:pPr>
    </w:p>
    <w:p>
      <w:pPr>
        <w:ind w:firstLine="640"/>
        <w:rPr>
          <w:rFonts w:ascii="宋体" w:hAnsi="宋体" w:eastAsia="宋体"/>
          <w:color w:val="000000" w:themeColor="text1"/>
          <w14:textFill>
            <w14:solidFill>
              <w14:schemeClr w14:val="tx1"/>
            </w14:solidFill>
          </w14:textFill>
        </w:rPr>
        <w:sectPr>
          <w:headerReference r:id="rId18" w:type="first"/>
          <w:footerReference r:id="rId20" w:type="first"/>
          <w:headerReference r:id="rId16" w:type="default"/>
          <w:footerReference r:id="rId19" w:type="default"/>
          <w:headerReference r:id="rId17" w:type="even"/>
          <w:pgSz w:w="16838" w:h="11906" w:orient="landscape"/>
          <w:pgMar w:top="1480" w:right="1440" w:bottom="1146" w:left="1440" w:header="851" w:footer="992" w:gutter="0"/>
          <w:pgNumType w:fmt="decimal"/>
          <w:cols w:space="720" w:num="1"/>
          <w:titlePg/>
          <w:docGrid w:type="lines" w:linePitch="435" w:charSpace="0"/>
        </w:sect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24" w:name="_Toc175305008"/>
      <w:bookmarkStart w:id="25" w:name="_Toc156994198"/>
      <w:r>
        <w:rPr>
          <w:rFonts w:hint="eastAsia" w:ascii="黑体" w:hAnsi="黑体" w:eastAsia="黑体" w:cs="黑体"/>
          <w:b w:val="0"/>
          <w:bCs w:val="0"/>
          <w:color w:val="000000"/>
          <w:sz w:val="28"/>
          <w:szCs w:val="28"/>
          <w:highlight w:val="none"/>
          <w:lang w:val="en-US" w:eastAsia="zh-CN"/>
        </w:rPr>
        <w:t>6.3 自身经营的碳减排</w:t>
      </w:r>
      <w:bookmarkEnd w:id="24"/>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6.3.1 实施环保措施及对环境的影响:</w:t>
      </w:r>
    </w:p>
    <w:p>
      <w:pPr>
        <w:widowControl/>
        <w:kinsoku w:val="0"/>
        <w:autoSpaceDE w:val="0"/>
        <w:autoSpaceDN w:val="0"/>
        <w:adjustRightInd w:val="0"/>
        <w:snapToGrid w:val="0"/>
        <w:spacing w:before="156"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1</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snapToGrid w:val="0"/>
          <w:color w:val="000000" w:themeColor="text1"/>
          <w:spacing w:val="6"/>
          <w:kern w:val="0"/>
          <w:sz w:val="24"/>
          <w:szCs w:val="24"/>
          <w14:textFill>
            <w14:solidFill>
              <w14:schemeClr w14:val="tx1"/>
            </w14:solidFill>
          </w14:textFill>
        </w:rPr>
        <w:t xml:space="preserve">绿色办公：本行推行绿色办公理念，通过实施电子对账、无纸化办公、节能灯具、节能空调、节约用水、垃圾分类、新能源公务车替换等环保措施，有效降低了本行自身经营办公过程中的资源消耗强度和总体碳排放水平。 </w:t>
      </w:r>
    </w:p>
    <w:p>
      <w:pPr>
        <w:widowControl/>
        <w:kinsoku w:val="0"/>
        <w:autoSpaceDE w:val="0"/>
        <w:autoSpaceDN w:val="0"/>
        <w:adjustRightInd w:val="0"/>
        <w:snapToGrid w:val="0"/>
        <w:spacing w:before="156"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2</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snapToGrid w:val="0"/>
          <w:color w:val="000000" w:themeColor="text1"/>
          <w:spacing w:val="6"/>
          <w:kern w:val="0"/>
          <w:sz w:val="24"/>
          <w:szCs w:val="24"/>
          <w14:textFill>
            <w14:solidFill>
              <w14:schemeClr w14:val="tx1"/>
            </w14:solidFill>
          </w14:textFill>
        </w:rPr>
        <w:t xml:space="preserve">绿色采购：本行在采购过程中优先选择绿色低碳产品和服务，如采购节能灯具、节能设备、环保包装和再生资源纸等，从源头上控制资源浪费和不必要碳排放。 </w:t>
      </w:r>
    </w:p>
    <w:p>
      <w:pPr>
        <w:widowControl/>
        <w:kinsoku w:val="0"/>
        <w:autoSpaceDE w:val="0"/>
        <w:autoSpaceDN w:val="0"/>
        <w:adjustRightInd w:val="0"/>
        <w:snapToGrid w:val="0"/>
        <w:spacing w:before="156"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3</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snapToGrid w:val="0"/>
          <w:color w:val="000000" w:themeColor="text1"/>
          <w:spacing w:val="6"/>
          <w:kern w:val="0"/>
          <w:sz w:val="24"/>
          <w:szCs w:val="24"/>
          <w14:textFill>
            <w14:solidFill>
              <w14:schemeClr w14:val="tx1"/>
            </w14:solidFill>
          </w14:textFill>
        </w:rPr>
        <w:t xml:space="preserve">绿色生活：本行积极倡导全体领导干部和在职员工带头践行低碳工作、低碳出行、低碳生活、低碳消费，以点带面推动绿色生活理念的普及。 </w:t>
      </w:r>
    </w:p>
    <w:p>
      <w:pPr>
        <w:widowControl/>
        <w:kinsoku w:val="0"/>
        <w:autoSpaceDE w:val="0"/>
        <w:autoSpaceDN w:val="0"/>
        <w:adjustRightInd w:val="0"/>
        <w:snapToGrid w:val="0"/>
        <w:spacing w:before="156"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4</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snapToGrid w:val="0"/>
          <w:color w:val="000000" w:themeColor="text1"/>
          <w:spacing w:val="6"/>
          <w:kern w:val="0"/>
          <w:sz w:val="24"/>
          <w:szCs w:val="24"/>
          <w14:textFill>
            <w14:solidFill>
              <w14:schemeClr w14:val="tx1"/>
            </w14:solidFill>
          </w14:textFill>
        </w:rPr>
        <w:t>低碳宣传：本行积极开展绿色低碳主题宣传活动，通过内部培训、宣传海报、公益活动等形式，提升环保意识，倡导绿色生活方式，形成良好的环保氛围。</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6.3.2 自身经营的碳减排量:</w:t>
      </w:r>
    </w:p>
    <w:p>
      <w:pPr>
        <w:widowControl/>
        <w:kinsoku w:val="0"/>
        <w:autoSpaceDE w:val="0"/>
        <w:autoSpaceDN w:val="0"/>
        <w:adjustRightInd w:val="0"/>
        <w:snapToGrid w:val="0"/>
        <w:spacing w:before="156" w:beforeLines="50" w:line="240" w:lineRule="auto"/>
        <w:ind w:firstLine="504"/>
        <w:textAlignment w:val="baseline"/>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报告年度本行</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未统计</w:t>
      </w:r>
      <w:r>
        <w:rPr>
          <w:rFonts w:hint="eastAsia" w:ascii="仿宋" w:hAnsi="仿宋" w:eastAsia="仿宋" w:cs="仿宋"/>
          <w:snapToGrid w:val="0"/>
          <w:color w:val="000000" w:themeColor="text1"/>
          <w:spacing w:val="6"/>
          <w:kern w:val="0"/>
          <w:sz w:val="24"/>
          <w:szCs w:val="24"/>
          <w14:textFill>
            <w14:solidFill>
              <w14:schemeClr w14:val="tx1"/>
            </w14:solidFill>
          </w14:textFill>
        </w:rPr>
        <w:t>自身经营的碳减排量</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w:t>
      </w:r>
      <w:r>
        <w:rPr>
          <w:rFonts w:hint="eastAsia" w:ascii="仿宋" w:hAnsi="仿宋" w:eastAsia="仿宋" w:cs="仿宋"/>
          <w:snapToGrid w:val="0"/>
          <w:color w:val="000000" w:themeColor="text1"/>
          <w:spacing w:val="6"/>
          <w:kern w:val="0"/>
          <w:sz w:val="24"/>
          <w:szCs w:val="24"/>
          <w14:textFill>
            <w14:solidFill>
              <w14:schemeClr w14:val="tx1"/>
            </w14:solidFill>
          </w14:textFill>
        </w:rPr>
        <w:t>员工总人数为</w:t>
      </w:r>
      <w:r>
        <w:rPr>
          <w:rFonts w:hint="eastAsia" w:ascii="仿宋" w:hAnsi="仿宋" w:eastAsia="仿宋" w:cs="仿宋"/>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color w:val="000000"/>
          <w:spacing w:val="6"/>
          <w:sz w:val="24"/>
          <w:u w:val="single" w:color="auto"/>
        </w:rPr>
        <w:t>858</w:t>
      </w:r>
      <w:r>
        <w:rPr>
          <w:rFonts w:hint="eastAsia" w:ascii="仿宋" w:hAnsi="仿宋" w:eastAsia="仿宋" w:cs="仿宋"/>
          <w:snapToGrid w:val="0"/>
          <w:color w:val="000000" w:themeColor="text1"/>
          <w:spacing w:val="6"/>
          <w:kern w:val="0"/>
          <w:sz w:val="24"/>
          <w:szCs w:val="24"/>
          <w:u w:val="single"/>
          <w:lang w:val="en-US" w:eastAsia="zh-CN"/>
          <w14:textFill>
            <w14:solidFill>
              <w14:schemeClr w14:val="tx1"/>
            </w14:solidFill>
          </w14:textFill>
        </w:rPr>
        <w:t xml:space="preserve"> </w:t>
      </w:r>
      <w:r>
        <w:rPr>
          <w:rFonts w:hint="eastAsia" w:ascii="仿宋" w:hAnsi="仿宋" w:eastAsia="仿宋" w:cs="仿宋"/>
          <w:snapToGrid w:val="0"/>
          <w:color w:val="000000" w:themeColor="text1"/>
          <w:spacing w:val="6"/>
          <w:kern w:val="0"/>
          <w:sz w:val="24"/>
          <w:szCs w:val="24"/>
          <w14:textFill>
            <w14:solidFill>
              <w14:schemeClr w14:val="tx1"/>
            </w14:solidFill>
          </w14:textFill>
        </w:rPr>
        <w:t>人</w:t>
      </w:r>
      <w:r>
        <w:rPr>
          <w:rFonts w:hint="eastAsia" w:ascii="仿宋" w:hAnsi="仿宋" w:eastAsia="仿宋" w:cs="仿宋"/>
          <w:snapToGrid w:val="0"/>
          <w:color w:val="000000" w:themeColor="text1"/>
          <w:spacing w:val="6"/>
          <w:kern w:val="0"/>
          <w:sz w:val="24"/>
          <w:szCs w:val="24"/>
          <w:lang w:eastAsia="zh-CN"/>
          <w14:textFill>
            <w14:solidFill>
              <w14:schemeClr w14:val="tx1"/>
            </w14:solidFill>
          </w14:textFill>
        </w:rPr>
        <w:t>。</w:t>
      </w:r>
    </w:p>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6-4自身经营的碳减排量</w:t>
      </w:r>
    </w:p>
    <w:tbl>
      <w:tblPr>
        <w:tblStyle w:val="22"/>
        <w:tblW w:w="9786" w:type="dxa"/>
        <w:tblInd w:w="0" w:type="dxa"/>
        <w:tblLayout w:type="fixed"/>
        <w:tblCellMar>
          <w:top w:w="0" w:type="dxa"/>
          <w:left w:w="108" w:type="dxa"/>
          <w:bottom w:w="0" w:type="dxa"/>
          <w:right w:w="108" w:type="dxa"/>
        </w:tblCellMar>
      </w:tblPr>
      <w:tblGrid>
        <w:gridCol w:w="3871"/>
        <w:gridCol w:w="1368"/>
        <w:gridCol w:w="2306"/>
        <w:gridCol w:w="2241"/>
      </w:tblGrid>
      <w:tr>
        <w:tblPrEx>
          <w:tblLayout w:type="fixed"/>
          <w:tblCellMar>
            <w:top w:w="0" w:type="dxa"/>
            <w:left w:w="108" w:type="dxa"/>
            <w:bottom w:w="0" w:type="dxa"/>
            <w:right w:w="108" w:type="dxa"/>
          </w:tblCellMar>
        </w:tblPrEx>
        <w:trPr>
          <w:trHeight w:val="291" w:hRule="atLeast"/>
        </w:trPr>
        <w:tc>
          <w:tcPr>
            <w:tcW w:w="38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textAlignment w:val="center"/>
              <w:rPr>
                <w:rFonts w:ascii="宋体" w:hAnsi="宋体" w:eastAsia="宋体"/>
                <w:b/>
                <w:bCs/>
                <w:color w:val="000000" w:themeColor="text1"/>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核算要素</w:t>
            </w:r>
          </w:p>
        </w:tc>
        <w:tc>
          <w:tcPr>
            <w:tcW w:w="13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textAlignment w:val="center"/>
              <w:rPr>
                <w:rFonts w:ascii="宋体" w:hAnsi="宋体" w:eastAsia="宋体"/>
                <w:b/>
                <w:bCs/>
                <w:color w:val="000000" w:themeColor="text1"/>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单位</w:t>
            </w:r>
          </w:p>
        </w:tc>
        <w:tc>
          <w:tcPr>
            <w:tcW w:w="454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rPr>
                <w:rFonts w:ascii="宋体" w:hAnsi="宋体" w:eastAsia="宋体"/>
                <w:b/>
                <w:bCs/>
                <w:color w:val="000000" w:themeColor="text1"/>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2023</w:t>
            </w:r>
            <w:r>
              <w:rPr>
                <w:rFonts w:ascii="宋体" w:hAnsi="宋体" w:eastAsia="宋体"/>
                <w:b/>
                <w:color w:val="000000" w:themeColor="text1"/>
                <w:sz w:val="18"/>
                <w:szCs w:val="18"/>
                <w14:textFill>
                  <w14:solidFill>
                    <w14:schemeClr w14:val="tx1"/>
                  </w14:solidFill>
                </w14:textFill>
              </w:rPr>
              <w:t>年</w:t>
            </w:r>
          </w:p>
        </w:tc>
      </w:tr>
      <w:tr>
        <w:tblPrEx>
          <w:tblLayout w:type="fixed"/>
          <w:tblCellMar>
            <w:top w:w="0" w:type="dxa"/>
            <w:left w:w="108" w:type="dxa"/>
            <w:bottom w:w="0" w:type="dxa"/>
            <w:right w:w="108" w:type="dxa"/>
          </w:tblCellMar>
        </w:tblPrEx>
        <w:trPr>
          <w:trHeight w:val="353" w:hRule="atLeast"/>
        </w:trPr>
        <w:tc>
          <w:tcPr>
            <w:tcW w:w="38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361"/>
              <w:jc w:val="center"/>
              <w:rPr>
                <w:rFonts w:ascii="宋体" w:hAnsi="宋体" w:eastAsia="宋体"/>
                <w:b/>
                <w:bCs/>
                <w:color w:val="000000" w:themeColor="text1"/>
                <w:sz w:val="18"/>
                <w:szCs w:val="18"/>
                <w14:textFill>
                  <w14:solidFill>
                    <w14:schemeClr w14:val="tx1"/>
                  </w14:solidFill>
                </w14:textFill>
              </w:rPr>
            </w:pPr>
          </w:p>
        </w:tc>
        <w:tc>
          <w:tcPr>
            <w:tcW w:w="13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361"/>
              <w:jc w:val="center"/>
              <w:rPr>
                <w:rFonts w:ascii="宋体" w:hAnsi="宋体" w:eastAsia="宋体"/>
                <w:b/>
                <w:bCs/>
                <w:color w:val="000000" w:themeColor="text1"/>
                <w:sz w:val="18"/>
                <w:szCs w:val="18"/>
                <w14:textFill>
                  <w14:solidFill>
                    <w14:schemeClr w14:val="tx1"/>
                  </w14:solidFill>
                </w14:textFill>
              </w:rPr>
            </w:pPr>
          </w:p>
        </w:tc>
        <w:tc>
          <w:tcPr>
            <w:tcW w:w="23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textAlignment w:val="center"/>
              <w:rPr>
                <w:rFonts w:ascii="宋体" w:hAnsi="宋体" w:eastAsia="宋体"/>
                <w:b/>
                <w:bCs/>
                <w:color w:val="000000" w:themeColor="text1"/>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数量</w:t>
            </w:r>
          </w:p>
        </w:tc>
        <w:tc>
          <w:tcPr>
            <w:tcW w:w="22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textAlignment w:val="center"/>
              <w:rPr>
                <w:rFonts w:ascii="宋体" w:hAnsi="宋体" w:eastAsia="宋体"/>
                <w:b/>
                <w:bCs/>
                <w:color w:val="000000" w:themeColor="text1"/>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人均碳减排（</w:t>
            </w: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r>
              <w:rPr>
                <w:rFonts w:hint="eastAsia" w:ascii="宋体" w:hAnsi="宋体" w:eastAsia="宋体"/>
                <w:b/>
                <w:bCs/>
                <w:color w:val="000000" w:themeColor="text1"/>
                <w:kern w:val="0"/>
                <w:sz w:val="18"/>
                <w:szCs w:val="18"/>
                <w14:textFill>
                  <w14:solidFill>
                    <w14:schemeClr w14:val="tx1"/>
                  </w14:solidFill>
                </w14:textFill>
              </w:rPr>
              <w:t>/人）</w:t>
            </w:r>
          </w:p>
        </w:tc>
      </w:tr>
      <w:tr>
        <w:tblPrEx>
          <w:tblLayout w:type="fixed"/>
          <w:tblCellMar>
            <w:top w:w="0" w:type="dxa"/>
            <w:left w:w="108" w:type="dxa"/>
            <w:bottom w:w="0" w:type="dxa"/>
            <w:right w:w="108" w:type="dxa"/>
          </w:tblCellMar>
        </w:tblPrEx>
        <w:trPr>
          <w:trHeight w:val="291" w:hRule="atLeast"/>
        </w:trPr>
        <w:tc>
          <w:tcPr>
            <w:tcW w:w="3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宋体" w:hAnsi="宋体" w:eastAsia="宋体"/>
                <w:color w:val="000000" w:themeColor="text1"/>
                <w:sz w:val="18"/>
                <w:szCs w:val="18"/>
                <w14:textFill>
                  <w14:solidFill>
                    <w14:schemeClr w14:val="tx1"/>
                  </w14:solidFill>
                </w14:textFill>
              </w:rPr>
            </w:pPr>
            <w:r>
              <w:rPr>
                <w:rFonts w:hint="eastAsia" w:ascii="宋体" w:hAnsi="宋体" w:eastAsia="宋体"/>
                <w:color w:val="000000" w:themeColor="text1"/>
                <w:sz w:val="18"/>
                <w:szCs w:val="18"/>
                <w14:textFill>
                  <w14:solidFill>
                    <w14:schemeClr w14:val="tx1"/>
                  </w14:solidFill>
                </w14:textFill>
              </w:rPr>
              <w:t>员工总人数</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rPr>
                <w:rFonts w:ascii="宋体" w:hAnsi="宋体" w:eastAsia="宋体"/>
                <w:color w:val="000000" w:themeColor="text1"/>
                <w:sz w:val="18"/>
                <w:szCs w:val="18"/>
                <w14:textFill>
                  <w14:solidFill>
                    <w14:schemeClr w14:val="tx1"/>
                  </w14:solidFill>
                </w14:textFill>
              </w:rPr>
            </w:pPr>
            <w:r>
              <w:rPr>
                <w:rFonts w:hint="eastAsia" w:ascii="宋体" w:hAnsi="宋体" w:eastAsia="宋体"/>
                <w:color w:val="000000" w:themeColor="text1"/>
                <w:sz w:val="18"/>
                <w:szCs w:val="18"/>
                <w14:textFill>
                  <w14:solidFill>
                    <w14:schemeClr w14:val="tx1"/>
                  </w14:solidFill>
                </w14:textFill>
              </w:rPr>
              <w:t>人</w:t>
            </w:r>
          </w:p>
        </w:tc>
        <w:tc>
          <w:tcPr>
            <w:tcW w:w="23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rPr>
                <w:rFonts w:hint="default" w:ascii="宋体" w:hAnsi="宋体" w:eastAsia="宋体"/>
                <w:color w:val="000000" w:themeColor="text1"/>
                <w:sz w:val="18"/>
                <w:szCs w:val="18"/>
                <w:lang w:val="en-US" w:eastAsia="zh-CN"/>
                <w14:textFill>
                  <w14:solidFill>
                    <w14:schemeClr w14:val="tx1"/>
                  </w14:solidFill>
                </w14:textFill>
              </w:rPr>
            </w:pPr>
            <w:r>
              <w:rPr>
                <w:rFonts w:hint="eastAsia" w:ascii="宋体" w:hAnsi="宋体" w:eastAsia="宋体"/>
                <w:color w:val="000000" w:themeColor="text1"/>
                <w:sz w:val="18"/>
                <w:szCs w:val="18"/>
                <w:lang w:val="en-US" w:eastAsia="zh-CN"/>
                <w14:textFill>
                  <w14:solidFill>
                    <w14:schemeClr w14:val="tx1"/>
                  </w14:solidFill>
                </w14:textFill>
              </w:rPr>
              <w:t>858</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rPr>
                <w:rFonts w:hint="eastAsia" w:ascii="宋体" w:hAnsi="宋体" w:eastAsia="宋体"/>
                <w:color w:val="000000" w:themeColor="text1"/>
                <w:sz w:val="18"/>
                <w:szCs w:val="18"/>
                <w:lang w:val="en-US" w:eastAsia="zh-CN"/>
                <w14:textFill>
                  <w14:solidFill>
                    <w14:schemeClr w14:val="tx1"/>
                  </w14:solidFill>
                </w14:textFill>
              </w:rPr>
            </w:pPr>
            <w:r>
              <w:rPr>
                <w:rFonts w:hint="eastAsia" w:ascii="宋体" w:hAnsi="宋体" w:eastAsia="宋体"/>
                <w:color w:val="000000" w:themeColor="text1"/>
                <w:sz w:val="18"/>
                <w:szCs w:val="18"/>
                <w:lang w:val="en-US" w:eastAsia="zh-CN"/>
                <w14:textFill>
                  <w14:solidFill>
                    <w14:schemeClr w14:val="tx1"/>
                  </w14:solidFill>
                </w14:textFill>
              </w:rPr>
              <w:t>/</w:t>
            </w:r>
          </w:p>
        </w:tc>
      </w:tr>
      <w:tr>
        <w:tblPrEx>
          <w:tblLayout w:type="fixed"/>
          <w:tblCellMar>
            <w:top w:w="0" w:type="dxa"/>
            <w:left w:w="108" w:type="dxa"/>
            <w:bottom w:w="0" w:type="dxa"/>
            <w:right w:w="108" w:type="dxa"/>
          </w:tblCellMar>
        </w:tblPrEx>
        <w:trPr>
          <w:trHeight w:val="291" w:hRule="atLeast"/>
        </w:trPr>
        <w:tc>
          <w:tcPr>
            <w:tcW w:w="3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宋体" w:hAnsi="宋体" w:eastAsia="宋体"/>
                <w:color w:val="000000" w:themeColor="text1"/>
                <w:sz w:val="18"/>
                <w:szCs w:val="18"/>
                <w14:textFill>
                  <w14:solidFill>
                    <w14:schemeClr w14:val="tx1"/>
                  </w14:solidFill>
                </w14:textFill>
              </w:rPr>
            </w:pPr>
            <w:r>
              <w:rPr>
                <w:rFonts w:hint="eastAsia" w:ascii="宋体" w:hAnsi="宋体" w:eastAsia="宋体"/>
                <w:color w:val="000000" w:themeColor="text1"/>
                <w:sz w:val="18"/>
                <w:szCs w:val="18"/>
                <w14:textFill>
                  <w14:solidFill>
                    <w14:schemeClr w14:val="tx1"/>
                  </w14:solidFill>
                </w14:textFill>
              </w:rPr>
              <w:t>碳减排量</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rPr>
                <w:rFonts w:ascii="宋体" w:hAnsi="宋体" w:eastAsia="宋体"/>
                <w:color w:val="000000" w:themeColor="text1"/>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p>
        </w:tc>
        <w:tc>
          <w:tcPr>
            <w:tcW w:w="23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rPr>
                <w:rFonts w:hint="eastAsia" w:ascii="宋体" w:hAnsi="宋体" w:eastAsia="宋体"/>
                <w:color w:val="000000" w:themeColor="text1"/>
                <w:sz w:val="18"/>
                <w:szCs w:val="18"/>
                <w:lang w:val="en-US" w:eastAsia="zh-CN"/>
                <w14:textFill>
                  <w14:solidFill>
                    <w14:schemeClr w14:val="tx1"/>
                  </w14:solidFill>
                </w14:textFill>
              </w:rPr>
            </w:pPr>
            <w:r>
              <w:rPr>
                <w:rFonts w:hint="eastAsia" w:ascii="宋体" w:hAnsi="宋体" w:eastAsia="宋体"/>
                <w:color w:val="000000" w:themeColor="text1"/>
                <w:sz w:val="18"/>
                <w:szCs w:val="18"/>
                <w:lang w:val="en-US" w:eastAsia="zh-CN"/>
                <w14:textFill>
                  <w14:solidFill>
                    <w14:schemeClr w14:val="tx1"/>
                  </w14:solidFill>
                </w14:textFill>
              </w:rPr>
              <w:t>/</w:t>
            </w:r>
          </w:p>
        </w:tc>
        <w:tc>
          <w:tcPr>
            <w:tcW w:w="2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rPr>
                <w:rFonts w:hint="eastAsia" w:ascii="宋体" w:hAnsi="宋体" w:eastAsia="宋体"/>
                <w:color w:val="000000" w:themeColor="text1"/>
                <w:sz w:val="18"/>
                <w:szCs w:val="18"/>
                <w:lang w:val="en-US" w:eastAsia="zh-CN"/>
                <w14:textFill>
                  <w14:solidFill>
                    <w14:schemeClr w14:val="tx1"/>
                  </w14:solidFill>
                </w14:textFill>
              </w:rPr>
            </w:pPr>
            <w:r>
              <w:rPr>
                <w:rFonts w:hint="eastAsia" w:ascii="宋体" w:hAnsi="宋体" w:eastAsia="宋体"/>
                <w:color w:val="000000" w:themeColor="text1"/>
                <w:sz w:val="18"/>
                <w:szCs w:val="18"/>
                <w:lang w:val="en-US" w:eastAsia="zh-CN"/>
                <w14:textFill>
                  <w14:solidFill>
                    <w14:schemeClr w14:val="tx1"/>
                  </w14:solidFill>
                </w14:textFill>
              </w:rPr>
              <w:t>/</w:t>
            </w:r>
          </w:p>
        </w:tc>
      </w:tr>
    </w:tbl>
    <w:p>
      <w:pPr>
        <w:ind w:firstLine="504"/>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br w:type="page"/>
      </w:r>
    </w:p>
    <w:p>
      <w:pPr>
        <w:pStyle w:val="2"/>
        <w:tabs>
          <w:tab w:val="clear" w:pos="420"/>
        </w:tabs>
        <w:ind w:left="0" w:leftChars="0" w:firstLine="0" w:firstLineChars="0"/>
        <w:rPr>
          <w:rFonts w:hint="eastAsia" w:hAnsi="Times New Roman" w:cs="宋体"/>
        </w:rPr>
      </w:pPr>
      <w:bookmarkStart w:id="26" w:name="_Toc175305009"/>
      <w:r>
        <w:rPr>
          <w:rFonts w:hint="eastAsia" w:hAnsi="Times New Roman" w:cs="宋体"/>
        </w:rPr>
        <w:t>投融资活动的碳排放</w:t>
      </w:r>
      <w:bookmarkEnd w:id="26"/>
    </w:p>
    <w:bookmarkEnd w:id="25"/>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27" w:name="_Toc175305010"/>
      <w:r>
        <w:rPr>
          <w:rFonts w:hint="eastAsia" w:ascii="黑体" w:hAnsi="黑体" w:eastAsia="黑体" w:cs="黑体"/>
          <w:b w:val="0"/>
          <w:bCs w:val="0"/>
          <w:color w:val="000000"/>
          <w:sz w:val="28"/>
          <w:szCs w:val="28"/>
          <w:highlight w:val="none"/>
          <w:lang w:val="en-US" w:eastAsia="zh-CN"/>
        </w:rPr>
        <w:t>7.1 信贷资产</w:t>
      </w:r>
      <w:bookmarkEnd w:id="27"/>
    </w:p>
    <w:p>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报告年度内本行应纳入投融资活动碳排放核算的贷款企业共计</w:t>
      </w:r>
      <w:r>
        <w:rPr>
          <w:rFonts w:hint="eastAsia" w:ascii="仿宋" w:hAnsi="仿宋" w:eastAsia="仿宋" w:cs="仿宋"/>
          <w:snapToGrid w:val="0"/>
          <w:color w:val="000000" w:themeColor="text1"/>
          <w:spacing w:val="6"/>
          <w:kern w:val="0"/>
          <w:sz w:val="24"/>
          <w:szCs w:val="24"/>
          <w:u w:val="single"/>
          <w14:textFill>
            <w14:solidFill>
              <w14:schemeClr w14:val="tx1"/>
            </w14:solidFill>
          </w14:textFill>
        </w:rPr>
        <w:t xml:space="preserve">  1075  </w:t>
      </w:r>
      <w:r>
        <w:rPr>
          <w:rFonts w:hint="eastAsia" w:ascii="仿宋" w:hAnsi="仿宋" w:eastAsia="仿宋" w:cs="仿宋"/>
          <w:snapToGrid w:val="0"/>
          <w:color w:val="000000" w:themeColor="text1"/>
          <w:spacing w:val="6"/>
          <w:kern w:val="0"/>
          <w:sz w:val="24"/>
          <w:szCs w:val="24"/>
          <w14:textFill>
            <w14:solidFill>
              <w14:schemeClr w14:val="tx1"/>
            </w14:solidFill>
          </w14:textFill>
        </w:rPr>
        <w:t>家，实际核算</w:t>
      </w:r>
      <w:r>
        <w:rPr>
          <w:rFonts w:hint="eastAsia" w:ascii="仿宋" w:hAnsi="仿宋" w:eastAsia="仿宋" w:cs="仿宋"/>
          <w:snapToGrid w:val="0"/>
          <w:color w:val="000000" w:themeColor="text1"/>
          <w:spacing w:val="6"/>
          <w:kern w:val="0"/>
          <w:sz w:val="24"/>
          <w:szCs w:val="24"/>
          <w:u w:val="single"/>
          <w14:textFill>
            <w14:solidFill>
              <w14:schemeClr w14:val="tx1"/>
            </w14:solidFill>
          </w14:textFill>
        </w:rPr>
        <w:t xml:space="preserve">  805  </w:t>
      </w:r>
      <w:r>
        <w:rPr>
          <w:rFonts w:hint="eastAsia" w:ascii="仿宋" w:hAnsi="仿宋" w:eastAsia="仿宋" w:cs="仿宋"/>
          <w:snapToGrid w:val="0"/>
          <w:color w:val="000000" w:themeColor="text1"/>
          <w:spacing w:val="6"/>
          <w:kern w:val="0"/>
          <w:sz w:val="24"/>
          <w:szCs w:val="24"/>
          <w14:textFill>
            <w14:solidFill>
              <w14:schemeClr w14:val="tx1"/>
            </w14:solidFill>
          </w14:textFill>
        </w:rPr>
        <w:t>家，核算户数比例为</w:t>
      </w:r>
      <w:r>
        <w:rPr>
          <w:rFonts w:hint="eastAsia" w:ascii="仿宋" w:hAnsi="仿宋" w:eastAsia="仿宋" w:cs="仿宋"/>
          <w:snapToGrid w:val="0"/>
          <w:color w:val="000000" w:themeColor="text1"/>
          <w:spacing w:val="6"/>
          <w:kern w:val="0"/>
          <w:sz w:val="24"/>
          <w:szCs w:val="24"/>
          <w:u w:val="single"/>
          <w14:textFill>
            <w14:solidFill>
              <w14:schemeClr w14:val="tx1"/>
            </w14:solidFill>
          </w14:textFill>
        </w:rPr>
        <w:t xml:space="preserve">  74.88  </w:t>
      </w:r>
      <w:r>
        <w:rPr>
          <w:rFonts w:hint="eastAsia" w:ascii="仿宋" w:hAnsi="仿宋" w:eastAsia="仿宋" w:cs="仿宋"/>
          <w:snapToGrid w:val="0"/>
          <w:color w:val="000000" w:themeColor="text1"/>
          <w:spacing w:val="6"/>
          <w:kern w:val="0"/>
          <w:sz w:val="24"/>
          <w:szCs w:val="24"/>
          <w14:textFill>
            <w14:solidFill>
              <w14:schemeClr w14:val="tx1"/>
            </w14:solidFill>
          </w14:textFill>
        </w:rPr>
        <w:t xml:space="preserve">%。   </w:t>
      </w:r>
    </w:p>
    <w:p>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经核算，报告年度内本行投融资活动中信贷资产碳排放合计为</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color w:val="000000"/>
          <w:spacing w:val="6"/>
          <w:sz w:val="24"/>
          <w:u w:val="single" w:color="auto"/>
        </w:rPr>
        <w:t xml:space="preserve">250661.89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e，其中非项目贷款产生的碳排放</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color w:val="000000"/>
          <w:spacing w:val="6"/>
          <w:sz w:val="24"/>
          <w:u w:val="single" w:color="auto"/>
        </w:rPr>
        <w:t xml:space="preserve">250661.89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w:t>
      </w:r>
      <w:r>
        <w:rPr>
          <w:rFonts w:hint="eastAsia" w:ascii="仿宋" w:hAnsi="仿宋" w:eastAsia="仿宋" w:cs="仿宋"/>
          <w:snapToGrid w:val="0"/>
          <w:color w:val="000000" w:themeColor="text1"/>
          <w:spacing w:val="6"/>
          <w:kern w:val="0"/>
          <w:sz w:val="24"/>
          <w:szCs w:val="24"/>
          <w14:textFill>
            <w14:solidFill>
              <w14:schemeClr w14:val="tx1"/>
            </w14:solidFill>
          </w14:textFill>
        </w:rPr>
        <w:t>。</w:t>
      </w:r>
    </w:p>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7-1信贷资产碳排放</w:t>
      </w:r>
    </w:p>
    <w:tbl>
      <w:tblPr>
        <w:tblStyle w:val="22"/>
        <w:tblW w:w="9599" w:type="dxa"/>
        <w:jc w:val="center"/>
        <w:tblInd w:w="0" w:type="dxa"/>
        <w:tblLayout w:type="fixed"/>
        <w:tblCellMar>
          <w:top w:w="0" w:type="dxa"/>
          <w:left w:w="108" w:type="dxa"/>
          <w:bottom w:w="0" w:type="dxa"/>
          <w:right w:w="108" w:type="dxa"/>
        </w:tblCellMar>
      </w:tblPr>
      <w:tblGrid>
        <w:gridCol w:w="2267"/>
        <w:gridCol w:w="4185"/>
        <w:gridCol w:w="1588"/>
        <w:gridCol w:w="1559"/>
      </w:tblGrid>
      <w:tr>
        <w:tblPrEx>
          <w:tblLayout w:type="fixed"/>
          <w:tblCellMar>
            <w:top w:w="0" w:type="dxa"/>
            <w:left w:w="108" w:type="dxa"/>
            <w:bottom w:w="0" w:type="dxa"/>
            <w:right w:w="108" w:type="dxa"/>
          </w:tblCellMar>
        </w:tblPrEx>
        <w:trPr>
          <w:trHeight w:val="408" w:hRule="atLeast"/>
          <w:tblHeader/>
          <w:jc w:val="center"/>
        </w:trPr>
        <w:tc>
          <w:tcPr>
            <w:tcW w:w="2267"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资产类别</w:t>
            </w:r>
          </w:p>
        </w:tc>
        <w:tc>
          <w:tcPr>
            <w:tcW w:w="4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指标名称</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单位</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2023年</w:t>
            </w:r>
          </w:p>
        </w:tc>
      </w:tr>
      <w:tr>
        <w:tblPrEx>
          <w:tblLayout w:type="fixed"/>
          <w:tblCellMar>
            <w:top w:w="0" w:type="dxa"/>
            <w:left w:w="108" w:type="dxa"/>
            <w:bottom w:w="0" w:type="dxa"/>
            <w:right w:w="108" w:type="dxa"/>
          </w:tblCellMar>
        </w:tblPrEx>
        <w:trPr>
          <w:trHeight w:val="450" w:hRule="atLeast"/>
          <w:jc w:val="center"/>
        </w:trPr>
        <w:tc>
          <w:tcPr>
            <w:tcW w:w="2267"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项目贷款</w:t>
            </w:r>
          </w:p>
        </w:tc>
        <w:tc>
          <w:tcPr>
            <w:tcW w:w="4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投融资碳排放量</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trHeight w:val="450" w:hRule="atLeast"/>
          <w:jc w:val="center"/>
        </w:trPr>
        <w:tc>
          <w:tcPr>
            <w:tcW w:w="2267"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项目贷款</w:t>
            </w:r>
          </w:p>
        </w:tc>
        <w:tc>
          <w:tcPr>
            <w:tcW w:w="4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纳入碳排放核算的投融资业务比例</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hint="eastAsia" w:ascii="宋体" w:hAnsi="宋体" w:eastAsia="宋体"/>
                <w:color w:val="000000" w:themeColor="text1"/>
                <w:kern w:val="0"/>
                <w:sz w:val="18"/>
                <w:szCs w:val="18"/>
                <w:lang w:val="en-US" w:eastAsia="zh-CN"/>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r>
      <w:tr>
        <w:tblPrEx>
          <w:tblLayout w:type="fixed"/>
          <w:tblCellMar>
            <w:top w:w="0" w:type="dxa"/>
            <w:left w:w="108" w:type="dxa"/>
            <w:bottom w:w="0" w:type="dxa"/>
            <w:right w:w="108" w:type="dxa"/>
          </w:tblCellMar>
        </w:tblPrEx>
        <w:trPr>
          <w:trHeight w:val="450" w:hRule="atLeast"/>
          <w:jc w:val="center"/>
        </w:trPr>
        <w:tc>
          <w:tcPr>
            <w:tcW w:w="2267"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项目贷款</w:t>
            </w:r>
          </w:p>
        </w:tc>
        <w:tc>
          <w:tcPr>
            <w:tcW w:w="4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纳入碳排放核算的贷款月均融资余额</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万元</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182169.556</w:t>
            </w:r>
          </w:p>
        </w:tc>
      </w:tr>
      <w:tr>
        <w:tblPrEx>
          <w:tblLayout w:type="fixed"/>
          <w:tblCellMar>
            <w:top w:w="0" w:type="dxa"/>
            <w:left w:w="108" w:type="dxa"/>
            <w:bottom w:w="0" w:type="dxa"/>
            <w:right w:w="108" w:type="dxa"/>
          </w:tblCellMar>
        </w:tblPrEx>
        <w:trPr>
          <w:trHeight w:val="450" w:hRule="atLeast"/>
          <w:jc w:val="center"/>
        </w:trPr>
        <w:tc>
          <w:tcPr>
            <w:tcW w:w="2267"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项目贷款</w:t>
            </w:r>
          </w:p>
        </w:tc>
        <w:tc>
          <w:tcPr>
            <w:tcW w:w="4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投融资碳排放强度</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r>
              <w:rPr>
                <w:rFonts w:hint="eastAsia" w:ascii="宋体" w:hAnsi="宋体" w:eastAsia="宋体"/>
                <w:color w:val="000000" w:themeColor="text1"/>
                <w:kern w:val="0"/>
                <w:sz w:val="18"/>
                <w:szCs w:val="18"/>
                <w14:textFill>
                  <w14:solidFill>
                    <w14:schemeClr w14:val="tx1"/>
                  </w14:solidFill>
                </w14:textFill>
              </w:rPr>
              <w:t>/万元</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trHeight w:val="450" w:hRule="atLeast"/>
          <w:jc w:val="center"/>
        </w:trPr>
        <w:tc>
          <w:tcPr>
            <w:tcW w:w="2267"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非项目贷款</w:t>
            </w:r>
          </w:p>
        </w:tc>
        <w:tc>
          <w:tcPr>
            <w:tcW w:w="4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投融资碳排放量</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250661.89</w:t>
            </w:r>
          </w:p>
        </w:tc>
      </w:tr>
      <w:tr>
        <w:tblPrEx>
          <w:tblLayout w:type="fixed"/>
          <w:tblCellMar>
            <w:top w:w="0" w:type="dxa"/>
            <w:left w:w="108" w:type="dxa"/>
            <w:bottom w:w="0" w:type="dxa"/>
            <w:right w:w="108" w:type="dxa"/>
          </w:tblCellMar>
        </w:tblPrEx>
        <w:trPr>
          <w:trHeight w:val="450" w:hRule="atLeast"/>
          <w:jc w:val="center"/>
        </w:trPr>
        <w:tc>
          <w:tcPr>
            <w:tcW w:w="2267"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非项目贷款</w:t>
            </w:r>
          </w:p>
        </w:tc>
        <w:tc>
          <w:tcPr>
            <w:tcW w:w="4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纳入碳排放核算的投融资业务比例</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hint="default" w:ascii="宋体" w:hAnsi="宋体" w:eastAsia="宋体"/>
                <w:color w:val="000000" w:themeColor="text1"/>
                <w:kern w:val="0"/>
                <w:sz w:val="18"/>
                <w:szCs w:val="18"/>
                <w:lang w:val="en-US" w:eastAsia="zh-CN"/>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74.88%</w:t>
            </w:r>
          </w:p>
        </w:tc>
      </w:tr>
      <w:tr>
        <w:tblPrEx>
          <w:tblLayout w:type="fixed"/>
          <w:tblCellMar>
            <w:top w:w="0" w:type="dxa"/>
            <w:left w:w="108" w:type="dxa"/>
            <w:bottom w:w="0" w:type="dxa"/>
            <w:right w:w="108" w:type="dxa"/>
          </w:tblCellMar>
        </w:tblPrEx>
        <w:trPr>
          <w:trHeight w:val="450" w:hRule="atLeast"/>
          <w:jc w:val="center"/>
        </w:trPr>
        <w:tc>
          <w:tcPr>
            <w:tcW w:w="2267"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非项目贷款</w:t>
            </w:r>
          </w:p>
        </w:tc>
        <w:tc>
          <w:tcPr>
            <w:tcW w:w="4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纳入碳排放核算的贷款月均融资余额</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万元</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570132.585</w:t>
            </w:r>
          </w:p>
        </w:tc>
      </w:tr>
      <w:tr>
        <w:tblPrEx>
          <w:tblLayout w:type="fixed"/>
          <w:tblCellMar>
            <w:top w:w="0" w:type="dxa"/>
            <w:left w:w="108" w:type="dxa"/>
            <w:bottom w:w="0" w:type="dxa"/>
            <w:right w:w="108" w:type="dxa"/>
          </w:tblCellMar>
        </w:tblPrEx>
        <w:trPr>
          <w:trHeight w:val="450" w:hRule="atLeast"/>
          <w:jc w:val="center"/>
        </w:trPr>
        <w:tc>
          <w:tcPr>
            <w:tcW w:w="2267"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非项目贷款</w:t>
            </w:r>
          </w:p>
        </w:tc>
        <w:tc>
          <w:tcPr>
            <w:tcW w:w="4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投融资碳排放强度</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r>
              <w:rPr>
                <w:rFonts w:hint="eastAsia" w:ascii="宋体" w:hAnsi="宋体" w:eastAsia="宋体"/>
                <w:color w:val="000000" w:themeColor="text1"/>
                <w:kern w:val="0"/>
                <w:sz w:val="18"/>
                <w:szCs w:val="18"/>
                <w14:textFill>
                  <w14:solidFill>
                    <w14:schemeClr w14:val="tx1"/>
                  </w14:solidFill>
                </w14:textFill>
              </w:rPr>
              <w:t>/万元</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0.43966</w:t>
            </w:r>
          </w:p>
        </w:tc>
      </w:tr>
      <w:tr>
        <w:tblPrEx>
          <w:tblLayout w:type="fixed"/>
          <w:tblCellMar>
            <w:top w:w="0" w:type="dxa"/>
            <w:left w:w="108" w:type="dxa"/>
            <w:bottom w:w="0" w:type="dxa"/>
            <w:right w:w="108" w:type="dxa"/>
          </w:tblCellMar>
        </w:tblPrEx>
        <w:trPr>
          <w:trHeight w:val="450" w:hRule="atLeast"/>
          <w:jc w:val="center"/>
        </w:trPr>
        <w:tc>
          <w:tcPr>
            <w:tcW w:w="2267"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合计（信贷资产）</w:t>
            </w:r>
          </w:p>
        </w:tc>
        <w:tc>
          <w:tcPr>
            <w:tcW w:w="4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投融资碳排放量</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250661.89</w:t>
            </w:r>
          </w:p>
        </w:tc>
      </w:tr>
      <w:tr>
        <w:tblPrEx>
          <w:tblLayout w:type="fixed"/>
          <w:tblCellMar>
            <w:top w:w="0" w:type="dxa"/>
            <w:left w:w="108" w:type="dxa"/>
            <w:bottom w:w="0" w:type="dxa"/>
            <w:right w:w="108" w:type="dxa"/>
          </w:tblCellMar>
        </w:tblPrEx>
        <w:trPr>
          <w:trHeight w:val="450" w:hRule="atLeast"/>
          <w:jc w:val="center"/>
        </w:trPr>
        <w:tc>
          <w:tcPr>
            <w:tcW w:w="2267"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合计（信贷资产）</w:t>
            </w:r>
          </w:p>
        </w:tc>
        <w:tc>
          <w:tcPr>
            <w:tcW w:w="4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纳入碳排放核算的投融资业务比例</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74.88%</w:t>
            </w:r>
          </w:p>
        </w:tc>
      </w:tr>
      <w:tr>
        <w:tblPrEx>
          <w:tblLayout w:type="fixed"/>
          <w:tblCellMar>
            <w:top w:w="0" w:type="dxa"/>
            <w:left w:w="108" w:type="dxa"/>
            <w:bottom w:w="0" w:type="dxa"/>
            <w:right w:w="108" w:type="dxa"/>
          </w:tblCellMar>
        </w:tblPrEx>
        <w:trPr>
          <w:trHeight w:val="450" w:hRule="atLeast"/>
          <w:jc w:val="center"/>
        </w:trPr>
        <w:tc>
          <w:tcPr>
            <w:tcW w:w="2267"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合计（信贷资产）</w:t>
            </w:r>
          </w:p>
        </w:tc>
        <w:tc>
          <w:tcPr>
            <w:tcW w:w="4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纳入碳排放核算的贷款月均融资余额</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万元</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752302.141</w:t>
            </w:r>
          </w:p>
        </w:tc>
      </w:tr>
      <w:tr>
        <w:tblPrEx>
          <w:tblLayout w:type="fixed"/>
          <w:tblCellMar>
            <w:top w:w="0" w:type="dxa"/>
            <w:left w:w="108" w:type="dxa"/>
            <w:bottom w:w="0" w:type="dxa"/>
            <w:right w:w="108" w:type="dxa"/>
          </w:tblCellMar>
        </w:tblPrEx>
        <w:trPr>
          <w:trHeight w:val="480" w:hRule="atLeast"/>
          <w:jc w:val="center"/>
        </w:trPr>
        <w:tc>
          <w:tcPr>
            <w:tcW w:w="2267"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合计（信贷资产）</w:t>
            </w:r>
          </w:p>
        </w:tc>
        <w:tc>
          <w:tcPr>
            <w:tcW w:w="418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投融资碳排放强度</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r>
              <w:rPr>
                <w:rFonts w:hint="eastAsia" w:ascii="宋体" w:hAnsi="宋体" w:eastAsia="宋体"/>
                <w:color w:val="000000" w:themeColor="text1"/>
                <w:kern w:val="0"/>
                <w:sz w:val="18"/>
                <w:szCs w:val="18"/>
                <w14:textFill>
                  <w14:solidFill>
                    <w14:schemeClr w14:val="tx1"/>
                  </w14:solidFill>
                </w14:textFill>
              </w:rPr>
              <w:t>/万元</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0.33319</w:t>
            </w:r>
          </w:p>
        </w:tc>
      </w:tr>
    </w:tbl>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eastAsia" w:ascii="黑体" w:hAnsi="黑体" w:eastAsia="黑体" w:cs="黑体"/>
          <w:b w:val="0"/>
          <w:bCs w:val="0"/>
          <w:color w:val="000000"/>
          <w:sz w:val="28"/>
          <w:szCs w:val="28"/>
          <w:highlight w:val="none"/>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eastAsia" w:ascii="黑体" w:hAnsi="黑体" w:eastAsia="黑体" w:cs="黑体"/>
          <w:b w:val="0"/>
          <w:bCs w:val="0"/>
          <w:color w:val="000000"/>
          <w:sz w:val="28"/>
          <w:szCs w:val="28"/>
          <w:highlight w:val="none"/>
          <w:lang w:val="en-US" w:eastAsia="zh-CN"/>
        </w:rPr>
      </w:pPr>
      <w:bookmarkStart w:id="28" w:name="_Toc175305011"/>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r>
        <w:rPr>
          <w:rFonts w:hint="eastAsia" w:ascii="黑体" w:hAnsi="黑体" w:eastAsia="黑体" w:cs="黑体"/>
          <w:b w:val="0"/>
          <w:bCs w:val="0"/>
          <w:color w:val="000000"/>
          <w:sz w:val="28"/>
          <w:szCs w:val="28"/>
          <w:highlight w:val="none"/>
          <w:lang w:val="en-US" w:eastAsia="zh-CN"/>
        </w:rPr>
        <w:t>7.2 债券资产</w:t>
      </w:r>
      <w:bookmarkEnd w:id="28"/>
    </w:p>
    <w:p>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spacing w:val="6"/>
          <w:kern w:val="0"/>
          <w:sz w:val="24"/>
          <w:szCs w:val="24"/>
          <w:lang w:val="en-US" w:eastAsia="zh-CN"/>
        </w:rPr>
        <w:t>本行2023年度无债券资产碳排放基础数据</w:t>
      </w:r>
      <w:r>
        <w:rPr>
          <w:rFonts w:hint="eastAsia" w:ascii="仿宋" w:hAnsi="仿宋" w:eastAsia="仿宋" w:cs="仿宋"/>
          <w:snapToGrid w:val="0"/>
          <w:color w:val="000000" w:themeColor="text1"/>
          <w:spacing w:val="6"/>
          <w:kern w:val="0"/>
          <w:sz w:val="24"/>
          <w:szCs w:val="24"/>
          <w14:textFill>
            <w14:solidFill>
              <w14:schemeClr w14:val="tx1"/>
            </w14:solidFill>
          </w14:textFill>
        </w:rPr>
        <w:t>。</w:t>
      </w:r>
    </w:p>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7-2债券资产碳排放</w:t>
      </w:r>
    </w:p>
    <w:tbl>
      <w:tblPr>
        <w:tblStyle w:val="22"/>
        <w:tblW w:w="9418" w:type="dxa"/>
        <w:jc w:val="center"/>
        <w:tblInd w:w="0" w:type="dxa"/>
        <w:tblLayout w:type="fixed"/>
        <w:tblCellMar>
          <w:top w:w="0" w:type="dxa"/>
          <w:left w:w="108" w:type="dxa"/>
          <w:bottom w:w="0" w:type="dxa"/>
          <w:right w:w="108" w:type="dxa"/>
        </w:tblCellMar>
      </w:tblPr>
      <w:tblGrid>
        <w:gridCol w:w="2218"/>
        <w:gridCol w:w="4106"/>
        <w:gridCol w:w="1554"/>
        <w:gridCol w:w="1540"/>
      </w:tblGrid>
      <w:tr>
        <w:tblPrEx>
          <w:tblLayout w:type="fixed"/>
          <w:tblCellMar>
            <w:top w:w="0" w:type="dxa"/>
            <w:left w:w="108" w:type="dxa"/>
            <w:bottom w:w="0" w:type="dxa"/>
            <w:right w:w="108" w:type="dxa"/>
          </w:tblCellMar>
        </w:tblPrEx>
        <w:trPr>
          <w:trHeight w:val="320" w:hRule="atLeast"/>
          <w:tblHeader/>
          <w:jc w:val="center"/>
        </w:trPr>
        <w:tc>
          <w:tcPr>
            <w:tcW w:w="2218"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资产类别</w:t>
            </w:r>
          </w:p>
        </w:tc>
        <w:tc>
          <w:tcPr>
            <w:tcW w:w="4106"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指标名称</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单位</w:t>
            </w:r>
          </w:p>
        </w:tc>
        <w:tc>
          <w:tcPr>
            <w:tcW w:w="154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2023年</w:t>
            </w:r>
          </w:p>
        </w:tc>
      </w:tr>
      <w:tr>
        <w:tblPrEx>
          <w:tblLayout w:type="fixed"/>
          <w:tblCellMar>
            <w:top w:w="0" w:type="dxa"/>
            <w:left w:w="108" w:type="dxa"/>
            <w:bottom w:w="0" w:type="dxa"/>
            <w:right w:w="108" w:type="dxa"/>
          </w:tblCellMar>
        </w:tblPrEx>
        <w:trPr>
          <w:trHeight w:val="320" w:hRule="atLeast"/>
          <w:jc w:val="center"/>
        </w:trPr>
        <w:tc>
          <w:tcPr>
            <w:tcW w:w="2218"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债券资产</w:t>
            </w:r>
          </w:p>
        </w:tc>
        <w:tc>
          <w:tcPr>
            <w:tcW w:w="4106"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投融资碳排放量</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p>
        </w:tc>
        <w:tc>
          <w:tcPr>
            <w:tcW w:w="154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trHeight w:val="320" w:hRule="atLeast"/>
          <w:jc w:val="center"/>
        </w:trPr>
        <w:tc>
          <w:tcPr>
            <w:tcW w:w="22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债券资产</w:t>
            </w:r>
          </w:p>
        </w:tc>
        <w:tc>
          <w:tcPr>
            <w:tcW w:w="4106"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纳入碳排放核算的投融资业务比例</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w:t>
            </w:r>
          </w:p>
        </w:tc>
        <w:tc>
          <w:tcPr>
            <w:tcW w:w="154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trHeight w:val="320" w:hRule="atLeast"/>
          <w:jc w:val="center"/>
        </w:trPr>
        <w:tc>
          <w:tcPr>
            <w:tcW w:w="22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债券资产</w:t>
            </w:r>
          </w:p>
        </w:tc>
        <w:tc>
          <w:tcPr>
            <w:tcW w:w="4106"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纳入碳排放核算的债券投资账面价值</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万元</w:t>
            </w:r>
          </w:p>
        </w:tc>
        <w:tc>
          <w:tcPr>
            <w:tcW w:w="154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trHeight w:val="331" w:hRule="atLeast"/>
          <w:jc w:val="center"/>
        </w:trPr>
        <w:tc>
          <w:tcPr>
            <w:tcW w:w="221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债券资产</w:t>
            </w:r>
          </w:p>
        </w:tc>
        <w:tc>
          <w:tcPr>
            <w:tcW w:w="4106"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投融资碳排放强度</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r>
              <w:rPr>
                <w:rFonts w:hint="eastAsia" w:ascii="宋体" w:hAnsi="宋体" w:eastAsia="宋体"/>
                <w:color w:val="000000" w:themeColor="text1"/>
                <w:kern w:val="0"/>
                <w:sz w:val="18"/>
                <w:szCs w:val="18"/>
                <w14:textFill>
                  <w14:solidFill>
                    <w14:schemeClr w14:val="tx1"/>
                  </w14:solidFill>
                </w14:textFill>
              </w:rPr>
              <w:t>/万元</w:t>
            </w:r>
          </w:p>
        </w:tc>
        <w:tc>
          <w:tcPr>
            <w:tcW w:w="154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bl>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eastAsia" w:ascii="黑体" w:hAnsi="黑体" w:eastAsia="黑体" w:cs="黑体"/>
          <w:b w:val="0"/>
          <w:bCs w:val="0"/>
          <w:color w:val="000000"/>
          <w:sz w:val="28"/>
          <w:szCs w:val="28"/>
          <w:highlight w:val="none"/>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eastAsia" w:ascii="黑体" w:hAnsi="黑体" w:eastAsia="黑体" w:cs="黑体"/>
          <w:b w:val="0"/>
          <w:bCs w:val="0"/>
          <w:color w:val="000000"/>
          <w:sz w:val="28"/>
          <w:szCs w:val="28"/>
          <w:highlight w:val="none"/>
          <w:lang w:val="en-US" w:eastAsia="zh-CN"/>
        </w:rPr>
      </w:pPr>
      <w:bookmarkStart w:id="29" w:name="_Toc175305012"/>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r>
        <w:rPr>
          <w:rFonts w:hint="eastAsia" w:ascii="黑体" w:hAnsi="黑体" w:eastAsia="黑体" w:cs="黑体"/>
          <w:b w:val="0"/>
          <w:bCs w:val="0"/>
          <w:color w:val="000000"/>
          <w:sz w:val="28"/>
          <w:szCs w:val="28"/>
          <w:highlight w:val="none"/>
          <w:lang w:val="en-US" w:eastAsia="zh-CN"/>
        </w:rPr>
        <w:t>7.3 投融资（总计）</w:t>
      </w:r>
      <w:bookmarkEnd w:id="29"/>
    </w:p>
    <w:p>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报告年度内</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本行信贷资产产生的碳排放</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color w:val="000000"/>
          <w:spacing w:val="6"/>
          <w:sz w:val="24"/>
          <w:u w:val="single" w:color="auto"/>
        </w:rPr>
        <w:t xml:space="preserve">250661.89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e，碳排放强度为</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0.33319</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e/万元；投融资活动总碳排放量</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 xml:space="preserve"> </w:t>
      </w:r>
      <w:r>
        <w:rPr>
          <w:rFonts w:ascii="仿宋" w:hAnsi="仿宋" w:eastAsia="仿宋" w:cs="仿宋"/>
          <w:color w:val="000000"/>
          <w:spacing w:val="6"/>
          <w:sz w:val="24"/>
          <w:u w:val="single" w:color="auto"/>
        </w:rPr>
        <w:t xml:space="preserve">250661.89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e，碳排放强度为</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u w:val="single"/>
          <w:lang w:val="en-US" w:eastAsia="zh-CN"/>
          <w14:textFill>
            <w14:solidFill>
              <w14:schemeClr w14:val="tx1"/>
            </w14:solidFill>
          </w14:textFill>
        </w:rPr>
        <w:t>0.33319</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e/万元</w:t>
      </w:r>
      <w:r>
        <w:rPr>
          <w:rFonts w:hint="eastAsia" w:ascii="仿宋" w:hAnsi="仿宋" w:eastAsia="仿宋" w:cs="仿宋"/>
          <w:snapToGrid w:val="0"/>
          <w:color w:val="000000" w:themeColor="text1"/>
          <w:spacing w:val="6"/>
          <w:kern w:val="0"/>
          <w:sz w:val="24"/>
          <w:szCs w:val="24"/>
          <w14:textFill>
            <w14:solidFill>
              <w14:schemeClr w14:val="tx1"/>
            </w14:solidFill>
          </w14:textFill>
        </w:rPr>
        <w:t>。</w:t>
      </w:r>
    </w:p>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7-3投融资（信贷+债券）碳排放</w:t>
      </w:r>
    </w:p>
    <w:tbl>
      <w:tblPr>
        <w:tblStyle w:val="22"/>
        <w:tblW w:w="9377" w:type="dxa"/>
        <w:jc w:val="center"/>
        <w:tblInd w:w="0" w:type="dxa"/>
        <w:tblLayout w:type="fixed"/>
        <w:tblCellMar>
          <w:top w:w="0" w:type="dxa"/>
          <w:left w:w="108" w:type="dxa"/>
          <w:bottom w:w="0" w:type="dxa"/>
          <w:right w:w="108" w:type="dxa"/>
        </w:tblCellMar>
      </w:tblPr>
      <w:tblGrid>
        <w:gridCol w:w="2158"/>
        <w:gridCol w:w="4212"/>
        <w:gridCol w:w="1523"/>
        <w:gridCol w:w="1484"/>
      </w:tblGrid>
      <w:tr>
        <w:tblPrEx>
          <w:tblLayout w:type="fixed"/>
          <w:tblCellMar>
            <w:top w:w="0" w:type="dxa"/>
            <w:left w:w="108" w:type="dxa"/>
            <w:bottom w:w="0" w:type="dxa"/>
            <w:right w:w="108" w:type="dxa"/>
          </w:tblCellMar>
        </w:tblPrEx>
        <w:trPr>
          <w:trHeight w:val="322" w:hRule="atLeast"/>
          <w:jc w:val="center"/>
        </w:trPr>
        <w:tc>
          <w:tcPr>
            <w:tcW w:w="2158"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资产类别</w:t>
            </w:r>
          </w:p>
        </w:tc>
        <w:tc>
          <w:tcPr>
            <w:tcW w:w="421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指标名称</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单位</w:t>
            </w:r>
          </w:p>
        </w:tc>
        <w:tc>
          <w:tcPr>
            <w:tcW w:w="14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2023年</w:t>
            </w:r>
          </w:p>
        </w:tc>
      </w:tr>
      <w:tr>
        <w:tblPrEx>
          <w:tblLayout w:type="fixed"/>
          <w:tblCellMar>
            <w:top w:w="0" w:type="dxa"/>
            <w:left w:w="108" w:type="dxa"/>
            <w:bottom w:w="0" w:type="dxa"/>
            <w:right w:w="108" w:type="dxa"/>
          </w:tblCellMar>
        </w:tblPrEx>
        <w:trPr>
          <w:trHeight w:val="322" w:hRule="atLeast"/>
          <w:jc w:val="center"/>
        </w:trPr>
        <w:tc>
          <w:tcPr>
            <w:tcW w:w="2158"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信贷资产</w:t>
            </w:r>
          </w:p>
        </w:tc>
        <w:tc>
          <w:tcPr>
            <w:tcW w:w="421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投融资碳排放量</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p>
        </w:tc>
        <w:tc>
          <w:tcPr>
            <w:tcW w:w="14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250661.89</w:t>
            </w:r>
          </w:p>
        </w:tc>
      </w:tr>
      <w:tr>
        <w:tblPrEx>
          <w:tblLayout w:type="fixed"/>
          <w:tblCellMar>
            <w:top w:w="0" w:type="dxa"/>
            <w:left w:w="108" w:type="dxa"/>
            <w:bottom w:w="0" w:type="dxa"/>
            <w:right w:w="108" w:type="dxa"/>
          </w:tblCellMar>
        </w:tblPrEx>
        <w:trPr>
          <w:trHeight w:val="322" w:hRule="atLeast"/>
          <w:jc w:val="center"/>
        </w:trPr>
        <w:tc>
          <w:tcPr>
            <w:tcW w:w="215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信贷资产</w:t>
            </w:r>
          </w:p>
        </w:tc>
        <w:tc>
          <w:tcPr>
            <w:tcW w:w="421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纳入碳排放核算的投融资业务比例</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w:t>
            </w:r>
          </w:p>
        </w:tc>
        <w:tc>
          <w:tcPr>
            <w:tcW w:w="14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74.88%</w:t>
            </w:r>
          </w:p>
        </w:tc>
      </w:tr>
      <w:tr>
        <w:tblPrEx>
          <w:tblLayout w:type="fixed"/>
          <w:tblCellMar>
            <w:top w:w="0" w:type="dxa"/>
            <w:left w:w="108" w:type="dxa"/>
            <w:bottom w:w="0" w:type="dxa"/>
            <w:right w:w="108" w:type="dxa"/>
          </w:tblCellMar>
        </w:tblPrEx>
        <w:trPr>
          <w:trHeight w:val="322" w:hRule="atLeast"/>
          <w:jc w:val="center"/>
        </w:trPr>
        <w:tc>
          <w:tcPr>
            <w:tcW w:w="215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信贷资产</w:t>
            </w:r>
          </w:p>
        </w:tc>
        <w:tc>
          <w:tcPr>
            <w:tcW w:w="421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纳入碳排放核算的贷款月均融资余额</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万元</w:t>
            </w:r>
          </w:p>
        </w:tc>
        <w:tc>
          <w:tcPr>
            <w:tcW w:w="14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752302.141</w:t>
            </w:r>
          </w:p>
        </w:tc>
      </w:tr>
      <w:tr>
        <w:tblPrEx>
          <w:tblLayout w:type="fixed"/>
          <w:tblCellMar>
            <w:top w:w="0" w:type="dxa"/>
            <w:left w:w="108" w:type="dxa"/>
            <w:bottom w:w="0" w:type="dxa"/>
            <w:right w:w="108" w:type="dxa"/>
          </w:tblCellMar>
        </w:tblPrEx>
        <w:trPr>
          <w:trHeight w:val="322" w:hRule="atLeast"/>
          <w:jc w:val="center"/>
        </w:trPr>
        <w:tc>
          <w:tcPr>
            <w:tcW w:w="215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信贷资产</w:t>
            </w:r>
          </w:p>
        </w:tc>
        <w:tc>
          <w:tcPr>
            <w:tcW w:w="421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投融资碳排放强度</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r>
              <w:rPr>
                <w:rFonts w:hint="eastAsia" w:ascii="宋体" w:hAnsi="宋体" w:eastAsia="宋体"/>
                <w:color w:val="000000" w:themeColor="text1"/>
                <w:kern w:val="0"/>
                <w:sz w:val="18"/>
                <w:szCs w:val="18"/>
                <w14:textFill>
                  <w14:solidFill>
                    <w14:schemeClr w14:val="tx1"/>
                  </w14:solidFill>
                </w14:textFill>
              </w:rPr>
              <w:t>/万元</w:t>
            </w:r>
          </w:p>
        </w:tc>
        <w:tc>
          <w:tcPr>
            <w:tcW w:w="14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0.33319</w:t>
            </w:r>
          </w:p>
        </w:tc>
      </w:tr>
      <w:tr>
        <w:tblPrEx>
          <w:tblLayout w:type="fixed"/>
          <w:tblCellMar>
            <w:top w:w="0" w:type="dxa"/>
            <w:left w:w="108" w:type="dxa"/>
            <w:bottom w:w="0" w:type="dxa"/>
            <w:right w:w="108" w:type="dxa"/>
          </w:tblCellMar>
        </w:tblPrEx>
        <w:trPr>
          <w:trHeight w:val="322" w:hRule="atLeast"/>
          <w:jc w:val="center"/>
        </w:trPr>
        <w:tc>
          <w:tcPr>
            <w:tcW w:w="2158"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债券资产</w:t>
            </w:r>
          </w:p>
        </w:tc>
        <w:tc>
          <w:tcPr>
            <w:tcW w:w="421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投融资碳排放量</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p>
        </w:tc>
        <w:tc>
          <w:tcPr>
            <w:tcW w:w="14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trHeight w:val="322" w:hRule="atLeast"/>
          <w:jc w:val="center"/>
        </w:trPr>
        <w:tc>
          <w:tcPr>
            <w:tcW w:w="215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债券资产</w:t>
            </w:r>
          </w:p>
        </w:tc>
        <w:tc>
          <w:tcPr>
            <w:tcW w:w="421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纳入碳排放核算的投融资业务比例</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w:t>
            </w:r>
          </w:p>
        </w:tc>
        <w:tc>
          <w:tcPr>
            <w:tcW w:w="14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hint="eastAsia" w:ascii="宋体" w:hAnsi="宋体" w:eastAsia="宋体"/>
                <w:color w:val="000000" w:themeColor="text1"/>
                <w:kern w:val="0"/>
                <w:sz w:val="18"/>
                <w:szCs w:val="18"/>
                <w:lang w:val="en-US" w:eastAsia="zh-CN"/>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r>
      <w:tr>
        <w:tblPrEx>
          <w:tblLayout w:type="fixed"/>
          <w:tblCellMar>
            <w:top w:w="0" w:type="dxa"/>
            <w:left w:w="108" w:type="dxa"/>
            <w:bottom w:w="0" w:type="dxa"/>
            <w:right w:w="108" w:type="dxa"/>
          </w:tblCellMar>
        </w:tblPrEx>
        <w:trPr>
          <w:trHeight w:val="322" w:hRule="atLeast"/>
          <w:jc w:val="center"/>
        </w:trPr>
        <w:tc>
          <w:tcPr>
            <w:tcW w:w="215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债券资产</w:t>
            </w:r>
          </w:p>
        </w:tc>
        <w:tc>
          <w:tcPr>
            <w:tcW w:w="421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纳入碳排放核算的债券投资账面价值</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万元</w:t>
            </w:r>
          </w:p>
        </w:tc>
        <w:tc>
          <w:tcPr>
            <w:tcW w:w="14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trHeight w:val="322" w:hRule="atLeast"/>
          <w:jc w:val="center"/>
        </w:trPr>
        <w:tc>
          <w:tcPr>
            <w:tcW w:w="215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债券资产</w:t>
            </w:r>
          </w:p>
        </w:tc>
        <w:tc>
          <w:tcPr>
            <w:tcW w:w="421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投融资碳排放强度</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r>
              <w:rPr>
                <w:rFonts w:hint="eastAsia" w:ascii="宋体" w:hAnsi="宋体" w:eastAsia="宋体"/>
                <w:color w:val="000000" w:themeColor="text1"/>
                <w:kern w:val="0"/>
                <w:sz w:val="18"/>
                <w:szCs w:val="18"/>
                <w14:textFill>
                  <w14:solidFill>
                    <w14:schemeClr w14:val="tx1"/>
                  </w14:solidFill>
                </w14:textFill>
              </w:rPr>
              <w:t>/万元</w:t>
            </w:r>
          </w:p>
        </w:tc>
        <w:tc>
          <w:tcPr>
            <w:tcW w:w="14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w:t>
            </w:r>
          </w:p>
        </w:tc>
      </w:tr>
      <w:tr>
        <w:tblPrEx>
          <w:tblLayout w:type="fixed"/>
          <w:tblCellMar>
            <w:top w:w="0" w:type="dxa"/>
            <w:left w:w="108" w:type="dxa"/>
            <w:bottom w:w="0" w:type="dxa"/>
            <w:right w:w="108" w:type="dxa"/>
          </w:tblCellMar>
        </w:tblPrEx>
        <w:trPr>
          <w:trHeight w:val="322" w:hRule="atLeast"/>
          <w:jc w:val="center"/>
        </w:trPr>
        <w:tc>
          <w:tcPr>
            <w:tcW w:w="2158"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合计</w:t>
            </w:r>
          </w:p>
        </w:tc>
        <w:tc>
          <w:tcPr>
            <w:tcW w:w="421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投融资碳排放量</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p>
        </w:tc>
        <w:tc>
          <w:tcPr>
            <w:tcW w:w="14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250661.89</w:t>
            </w:r>
          </w:p>
        </w:tc>
      </w:tr>
      <w:tr>
        <w:tblPrEx>
          <w:tblLayout w:type="fixed"/>
          <w:tblCellMar>
            <w:top w:w="0" w:type="dxa"/>
            <w:left w:w="108" w:type="dxa"/>
            <w:bottom w:w="0" w:type="dxa"/>
            <w:right w:w="108" w:type="dxa"/>
          </w:tblCellMar>
        </w:tblPrEx>
        <w:trPr>
          <w:trHeight w:val="322" w:hRule="atLeast"/>
          <w:jc w:val="center"/>
        </w:trPr>
        <w:tc>
          <w:tcPr>
            <w:tcW w:w="215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合计</w:t>
            </w:r>
          </w:p>
        </w:tc>
        <w:tc>
          <w:tcPr>
            <w:tcW w:w="421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纳入碳排放核算的投融资业务比例</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w:t>
            </w:r>
          </w:p>
        </w:tc>
        <w:tc>
          <w:tcPr>
            <w:tcW w:w="14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74.88%</w:t>
            </w:r>
          </w:p>
        </w:tc>
      </w:tr>
      <w:tr>
        <w:tblPrEx>
          <w:tblLayout w:type="fixed"/>
          <w:tblCellMar>
            <w:top w:w="0" w:type="dxa"/>
            <w:left w:w="108" w:type="dxa"/>
            <w:bottom w:w="0" w:type="dxa"/>
            <w:right w:w="108" w:type="dxa"/>
          </w:tblCellMar>
        </w:tblPrEx>
        <w:trPr>
          <w:trHeight w:val="609" w:hRule="atLeast"/>
          <w:jc w:val="center"/>
        </w:trPr>
        <w:tc>
          <w:tcPr>
            <w:tcW w:w="215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合计</w:t>
            </w:r>
          </w:p>
        </w:tc>
        <w:tc>
          <w:tcPr>
            <w:tcW w:w="421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纳入碳排放核算的贷款月均融资余额及债券投资账面价值总和</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万元</w:t>
            </w:r>
          </w:p>
        </w:tc>
        <w:tc>
          <w:tcPr>
            <w:tcW w:w="14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752302.141</w:t>
            </w:r>
          </w:p>
        </w:tc>
      </w:tr>
      <w:tr>
        <w:tblPrEx>
          <w:tblLayout w:type="fixed"/>
          <w:tblCellMar>
            <w:top w:w="0" w:type="dxa"/>
            <w:left w:w="108" w:type="dxa"/>
            <w:bottom w:w="0" w:type="dxa"/>
            <w:right w:w="108" w:type="dxa"/>
          </w:tblCellMar>
        </w:tblPrEx>
        <w:trPr>
          <w:trHeight w:val="332" w:hRule="atLeast"/>
          <w:jc w:val="center"/>
        </w:trPr>
        <w:tc>
          <w:tcPr>
            <w:tcW w:w="2158"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合计</w:t>
            </w:r>
          </w:p>
        </w:tc>
        <w:tc>
          <w:tcPr>
            <w:tcW w:w="421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36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投融资碳排放强度</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r>
              <w:rPr>
                <w:rFonts w:hint="eastAsia" w:ascii="宋体" w:hAnsi="宋体" w:eastAsia="宋体"/>
                <w:color w:val="000000" w:themeColor="text1"/>
                <w:kern w:val="0"/>
                <w:sz w:val="18"/>
                <w:szCs w:val="18"/>
                <w14:textFill>
                  <w14:solidFill>
                    <w14:schemeClr w14:val="tx1"/>
                  </w14:solidFill>
                </w14:textFill>
              </w:rPr>
              <w:t>/万元</w:t>
            </w:r>
          </w:p>
        </w:tc>
        <w:tc>
          <w:tcPr>
            <w:tcW w:w="14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0.33319</w:t>
            </w:r>
          </w:p>
        </w:tc>
      </w:tr>
    </w:tbl>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eastAsia" w:ascii="黑体" w:hAnsi="黑体" w:eastAsia="黑体" w:cs="黑体"/>
          <w:b w:val="0"/>
          <w:bCs w:val="0"/>
          <w:color w:val="000000"/>
          <w:sz w:val="28"/>
          <w:szCs w:val="28"/>
          <w:highlight w:val="none"/>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30" w:name="_Toc175305013"/>
      <w:r>
        <w:rPr>
          <w:rFonts w:hint="eastAsia" w:ascii="黑体" w:hAnsi="黑体" w:eastAsia="黑体" w:cs="黑体"/>
          <w:b w:val="0"/>
          <w:bCs w:val="0"/>
          <w:color w:val="000000"/>
          <w:sz w:val="28"/>
          <w:szCs w:val="28"/>
          <w:highlight w:val="none"/>
          <w:lang w:val="en-US" w:eastAsia="zh-CN"/>
        </w:rPr>
        <w:t>7.4 高碳行业</w:t>
      </w:r>
      <w:bookmarkEnd w:id="30"/>
    </w:p>
    <w:p>
      <w:pPr>
        <w:widowControl/>
        <w:kinsoku w:val="0"/>
        <w:autoSpaceDE w:val="0"/>
        <w:autoSpaceDN w:val="0"/>
        <w:adjustRightInd w:val="0"/>
        <w:snapToGrid w:val="0"/>
        <w:spacing w:before="156"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报告年度内本行</w:t>
      </w: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未涉及</w:t>
      </w:r>
      <w:r>
        <w:rPr>
          <w:rFonts w:hint="eastAsia" w:ascii="仿宋" w:hAnsi="仿宋" w:eastAsia="仿宋" w:cs="仿宋"/>
          <w:snapToGrid w:val="0"/>
          <w:color w:val="000000" w:themeColor="text1"/>
          <w:spacing w:val="6"/>
          <w:kern w:val="0"/>
          <w:sz w:val="24"/>
          <w:szCs w:val="24"/>
          <w14:textFill>
            <w14:solidFill>
              <w14:schemeClr w14:val="tx1"/>
            </w14:solidFill>
          </w14:textFill>
        </w:rPr>
        <w:t>八大高碳行业投融资碳排放。</w:t>
      </w:r>
    </w:p>
    <w:p>
      <w:pPr>
        <w:widowControl/>
        <w:kinsoku w:val="0"/>
        <w:autoSpaceDE w:val="0"/>
        <w:autoSpaceDN w:val="0"/>
        <w:adjustRightInd w:val="0"/>
        <w:snapToGrid w:val="0"/>
        <w:spacing w:before="156" w:beforeLines="50" w:line="240" w:lineRule="auto"/>
        <w:ind w:firstLine="504"/>
        <w:textAlignment w:val="baseline"/>
        <w:rPr>
          <w:rFonts w:hint="eastAsia" w:ascii="仿宋" w:hAnsi="仿宋" w:eastAsia="仿宋" w:cs="仿宋"/>
          <w:snapToGrid w:val="0"/>
          <w:color w:val="000000" w:themeColor="text1"/>
          <w:spacing w:val="6"/>
          <w:kern w:val="0"/>
          <w:sz w:val="24"/>
          <w:szCs w:val="24"/>
          <w14:textFill>
            <w14:solidFill>
              <w14:schemeClr w14:val="tx1"/>
            </w14:solidFill>
          </w14:textFill>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31" w:name="_Toc175305014"/>
      <w:r>
        <w:rPr>
          <w:rFonts w:hint="eastAsia" w:ascii="黑体" w:hAnsi="黑体" w:eastAsia="黑体" w:cs="黑体"/>
          <w:b w:val="0"/>
          <w:bCs w:val="0"/>
          <w:color w:val="000000"/>
          <w:sz w:val="28"/>
          <w:szCs w:val="28"/>
          <w:highlight w:val="none"/>
          <w:lang w:val="en-US" w:eastAsia="zh-CN"/>
        </w:rPr>
        <w:t>7.5 行业门类</w:t>
      </w:r>
      <w:bookmarkEnd w:id="31"/>
    </w:p>
    <w:p>
      <w:pPr>
        <w:widowControl/>
        <w:kinsoku w:val="0"/>
        <w:autoSpaceDE w:val="0"/>
        <w:autoSpaceDN w:val="0"/>
        <w:adjustRightInd w:val="0"/>
        <w:snapToGrid w:val="0"/>
        <w:spacing w:before="156" w:beforeLines="50" w:line="240" w:lineRule="auto"/>
        <w:ind w:firstLine="504"/>
        <w:textAlignment w:val="baseline"/>
        <w:rPr>
          <w:rFonts w:ascii="宋体" w:hAnsi="宋体" w:eastAsia="宋体"/>
          <w:b/>
          <w:bCs/>
          <w:color w:val="000000" w:themeColor="text1"/>
          <w:kern w:val="0"/>
          <w:sz w:val="18"/>
          <w:szCs w:val="18"/>
          <w14:textFill>
            <w14:solidFill>
              <w14:schemeClr w14:val="tx1"/>
            </w14:solidFill>
          </w14:textFill>
        </w:rPr>
      </w:pPr>
      <w:r>
        <w:rPr>
          <w:rFonts w:hint="eastAsia" w:ascii="仿宋" w:hAnsi="仿宋" w:eastAsia="仿宋" w:cs="仿宋"/>
          <w:b w:val="0"/>
          <w:bCs/>
          <w:snapToGrid w:val="0"/>
          <w:color w:val="000000" w:themeColor="text1"/>
          <w:spacing w:val="6"/>
          <w:kern w:val="0"/>
          <w:sz w:val="24"/>
          <w:szCs w:val="24"/>
          <w:lang w:val="en-US" w:eastAsia="zh-CN"/>
          <w14:textFill>
            <w14:solidFill>
              <w14:schemeClr w14:val="tx1"/>
            </w14:solidFill>
          </w14:textFill>
        </w:rPr>
        <w:t>报告年度内</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本行投融资活动碳排放按行业门类构成分析，占比前三的行业依次为：</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snapToGrid w:val="0"/>
          <w:color w:val="000000" w:themeColor="text1"/>
          <w:spacing w:val="6"/>
          <w:kern w:val="0"/>
          <w:sz w:val="24"/>
          <w:szCs w:val="24"/>
          <w:u w:val="single"/>
          <w:lang w:val="en-US" w:eastAsia="zh-CN"/>
          <w14:textFill>
            <w14:solidFill>
              <w14:schemeClr w14:val="tx1"/>
            </w14:solidFill>
          </w14:textFill>
        </w:rPr>
        <w:t>C.制造业</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color w:val="000000" w:themeColor="text1"/>
          <w:spacing w:val="6"/>
          <w:sz w:val="24"/>
          <w14:textFill>
            <w14:solidFill>
              <w14:schemeClr w14:val="tx1"/>
            </w14:solidFill>
          </w14:textFill>
        </w:rPr>
        <w:t>行业</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产生的碳排放</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snapToGrid w:val="0"/>
          <w:color w:val="000000" w:themeColor="text1"/>
          <w:spacing w:val="6"/>
          <w:kern w:val="0"/>
          <w:sz w:val="24"/>
          <w:szCs w:val="24"/>
          <w:u w:val="single"/>
          <w:lang w:val="en-US" w:eastAsia="zh-CN"/>
          <w14:textFill>
            <w14:solidFill>
              <w14:schemeClr w14:val="tx1"/>
            </w14:solidFill>
          </w14:textFill>
        </w:rPr>
        <w:t>230620.5</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snapToGrid w:val="0"/>
          <w:color w:val="000000" w:themeColor="text1"/>
          <w:spacing w:val="6"/>
          <w:kern w:val="0"/>
          <w:sz w:val="24"/>
          <w:szCs w:val="24"/>
          <w:u w:val="single"/>
          <w:lang w:val="en-US" w:eastAsia="zh-CN"/>
          <w14:textFill>
            <w14:solidFill>
              <w14:schemeClr w14:val="tx1"/>
            </w14:solidFill>
          </w14:textFill>
        </w:rPr>
        <w:t>F.交通运输、仓储和邮政业</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color w:val="000000" w:themeColor="text1"/>
          <w:spacing w:val="6"/>
          <w:sz w:val="24"/>
          <w14:textFill>
            <w14:solidFill>
              <w14:schemeClr w14:val="tx1"/>
            </w14:solidFill>
          </w14:textFill>
        </w:rPr>
        <w:t>行业</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产生的碳排放</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snapToGrid w:val="0"/>
          <w:color w:val="000000" w:themeColor="text1"/>
          <w:spacing w:val="6"/>
          <w:kern w:val="0"/>
          <w:sz w:val="24"/>
          <w:szCs w:val="24"/>
          <w:u w:val="single"/>
          <w:lang w:val="en-US" w:eastAsia="zh-CN"/>
          <w14:textFill>
            <w14:solidFill>
              <w14:schemeClr w14:val="tx1"/>
            </w14:solidFill>
          </w14:textFill>
        </w:rPr>
        <w:t>8951.33</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snapToGrid w:val="0"/>
          <w:color w:val="000000" w:themeColor="text1"/>
          <w:spacing w:val="6"/>
          <w:kern w:val="0"/>
          <w:sz w:val="24"/>
          <w:szCs w:val="24"/>
          <w:u w:val="single"/>
          <w:lang w:val="en-US" w:eastAsia="zh-CN"/>
          <w14:textFill>
            <w14:solidFill>
              <w14:schemeClr w14:val="tx1"/>
            </w14:solidFill>
          </w14:textFill>
        </w:rPr>
        <w:t>G.信息传输、计算机服务和软件业</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color w:val="000000" w:themeColor="text1"/>
          <w:spacing w:val="6"/>
          <w:sz w:val="24"/>
          <w14:textFill>
            <w14:solidFill>
              <w14:schemeClr w14:val="tx1"/>
            </w14:solidFill>
          </w14:textFill>
        </w:rPr>
        <w:t>行业</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产生的碳排放</w:t>
      </w:r>
      <w:r>
        <w:rPr>
          <w:rFonts w:hint="eastAsia" w:ascii="仿宋" w:hAnsi="仿宋" w:eastAsia="仿宋" w:cs="仿宋"/>
          <w:b w:val="0"/>
          <w:bCs/>
          <w:snapToGrid w:val="0"/>
          <w:color w:val="000000" w:themeColor="text1"/>
          <w:spacing w:val="6"/>
          <w:kern w:val="0"/>
          <w:sz w:val="24"/>
          <w:szCs w:val="24"/>
          <w:u w:val="single"/>
          <w14:textFill>
            <w14:solidFill>
              <w14:schemeClr w14:val="tx1"/>
            </w14:solidFill>
          </w14:textFill>
        </w:rPr>
        <w:t xml:space="preserve"> </w:t>
      </w:r>
      <w:r>
        <w:rPr>
          <w:rFonts w:hint="eastAsia" w:ascii="仿宋" w:hAnsi="仿宋" w:eastAsia="仿宋" w:cs="仿宋"/>
          <w:snapToGrid w:val="0"/>
          <w:color w:val="000000" w:themeColor="text1"/>
          <w:spacing w:val="6"/>
          <w:kern w:val="0"/>
          <w:sz w:val="24"/>
          <w:szCs w:val="24"/>
          <w:u w:val="single"/>
          <w:lang w:val="en-US" w:eastAsia="zh-CN"/>
          <w14:textFill>
            <w14:solidFill>
              <w14:schemeClr w14:val="tx1"/>
            </w14:solidFill>
          </w14:textFill>
        </w:rPr>
        <w:t>3933.93</w:t>
      </w:r>
      <w:r>
        <w:rPr>
          <w:rFonts w:hint="eastAsia" w:ascii="仿宋" w:hAnsi="仿宋" w:eastAsia="仿宋" w:cs="仿宋"/>
          <w:b w:val="0"/>
          <w:bCs/>
          <w:color w:val="000000" w:themeColor="text1"/>
          <w:spacing w:val="6"/>
          <w:sz w:val="24"/>
          <w:u w:val="single"/>
          <w14:textFill>
            <w14:solidFill>
              <w14:schemeClr w14:val="tx1"/>
            </w14:solidFill>
          </w14:textFill>
        </w:rPr>
        <w:t xml:space="preserve"> </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tCO</w:t>
      </w:r>
      <w:r>
        <w:rPr>
          <w:rFonts w:hint="eastAsia" w:ascii="仿宋" w:hAnsi="仿宋" w:eastAsia="仿宋" w:cs="仿宋"/>
          <w:b w:val="0"/>
          <w:bCs/>
          <w:snapToGrid w:val="0"/>
          <w:color w:val="000000" w:themeColor="text1"/>
          <w:spacing w:val="6"/>
          <w:kern w:val="0"/>
          <w:sz w:val="24"/>
          <w:szCs w:val="24"/>
          <w:vertAlign w:val="subscript"/>
          <w14:textFill>
            <w14:solidFill>
              <w14:schemeClr w14:val="tx1"/>
            </w14:solidFill>
          </w14:textFill>
        </w:rPr>
        <w:t>2</w:t>
      </w:r>
      <w:r>
        <w:rPr>
          <w:rFonts w:hint="eastAsia" w:ascii="仿宋" w:hAnsi="仿宋" w:eastAsia="仿宋" w:cs="仿宋"/>
          <w:b w:val="0"/>
          <w:bCs/>
          <w:snapToGrid w:val="0"/>
          <w:color w:val="000000" w:themeColor="text1"/>
          <w:spacing w:val="6"/>
          <w:kern w:val="0"/>
          <w:sz w:val="24"/>
          <w:szCs w:val="24"/>
          <w14:textFill>
            <w14:solidFill>
              <w14:schemeClr w14:val="tx1"/>
            </w14:solidFill>
          </w14:textFill>
        </w:rPr>
        <w:t>e</w:t>
      </w:r>
      <w:r>
        <w:rPr>
          <w:rFonts w:hint="eastAsia" w:ascii="仿宋" w:hAnsi="仿宋" w:eastAsia="仿宋" w:cs="仿宋"/>
          <w:snapToGrid w:val="0"/>
          <w:color w:val="000000" w:themeColor="text1"/>
          <w:spacing w:val="6"/>
          <w:kern w:val="0"/>
          <w:sz w:val="24"/>
          <w:szCs w:val="24"/>
          <w14:textFill>
            <w14:solidFill>
              <w14:schemeClr w14:val="tx1"/>
            </w14:solidFill>
          </w14:textFill>
        </w:rPr>
        <w:t>。</w:t>
      </w:r>
    </w:p>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7-5投融资（行业门类）碳排放</w:t>
      </w:r>
    </w:p>
    <w:tbl>
      <w:tblPr>
        <w:tblStyle w:val="22"/>
        <w:tblW w:w="9158" w:type="dxa"/>
        <w:jc w:val="center"/>
        <w:tblInd w:w="0" w:type="dxa"/>
        <w:tblLayout w:type="fixed"/>
        <w:tblCellMar>
          <w:top w:w="0" w:type="dxa"/>
          <w:left w:w="108" w:type="dxa"/>
          <w:bottom w:w="0" w:type="dxa"/>
          <w:right w:w="108" w:type="dxa"/>
        </w:tblCellMar>
      </w:tblPr>
      <w:tblGrid>
        <w:gridCol w:w="4399"/>
        <w:gridCol w:w="1679"/>
        <w:gridCol w:w="1525"/>
        <w:gridCol w:w="1555"/>
      </w:tblGrid>
      <w:tr>
        <w:tblPrEx>
          <w:tblLayout w:type="fixed"/>
          <w:tblCellMar>
            <w:top w:w="0" w:type="dxa"/>
            <w:left w:w="108" w:type="dxa"/>
            <w:bottom w:w="0" w:type="dxa"/>
            <w:right w:w="108" w:type="dxa"/>
          </w:tblCellMar>
        </w:tblPrEx>
        <w:trPr>
          <w:trHeight w:val="1412" w:hRule="atLeast"/>
          <w:tblHeader/>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行业门类</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贷款月均融资余额（万元）</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贷款碳排放量（</w:t>
            </w: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r>
              <w:rPr>
                <w:rFonts w:hint="eastAsia" w:ascii="宋体" w:hAnsi="宋体" w:eastAsia="宋体"/>
                <w:b/>
                <w:bCs/>
                <w:color w:val="000000" w:themeColor="text1"/>
                <w:kern w:val="0"/>
                <w:sz w:val="18"/>
                <w:szCs w:val="18"/>
                <w14:textFill>
                  <w14:solidFill>
                    <w14:schemeClr w14:val="tx1"/>
                  </w14:solidFill>
                </w14:textFill>
              </w:rPr>
              <w:t>）</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碳排放强度</w:t>
            </w:r>
          </w:p>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w:t>
            </w:r>
            <w:r>
              <w:rPr>
                <w:rFonts w:hint="eastAsia" w:ascii="仿宋" w:hAnsi="仿宋" w:eastAsia="仿宋" w:cs="仿宋"/>
                <w:snapToGrid w:val="0"/>
                <w:color w:val="000000" w:themeColor="text1"/>
                <w:spacing w:val="6"/>
                <w:kern w:val="0"/>
                <w:sz w:val="18"/>
                <w:szCs w:val="18"/>
                <w14:textFill>
                  <w14:solidFill>
                    <w14:schemeClr w14:val="tx1"/>
                  </w14:solidFill>
                </w14:textFill>
              </w:rPr>
              <w:t>tCO</w:t>
            </w:r>
            <w:r>
              <w:rPr>
                <w:rFonts w:hint="eastAsia" w:ascii="仿宋" w:hAnsi="仿宋" w:eastAsia="仿宋" w:cs="仿宋"/>
                <w:snapToGrid w:val="0"/>
                <w:color w:val="000000" w:themeColor="text1"/>
                <w:spacing w:val="6"/>
                <w:kern w:val="0"/>
                <w:sz w:val="18"/>
                <w:szCs w:val="18"/>
                <w:vertAlign w:val="subscript"/>
                <w14:textFill>
                  <w14:solidFill>
                    <w14:schemeClr w14:val="tx1"/>
                  </w14:solidFill>
                </w14:textFill>
              </w:rPr>
              <w:t>2</w:t>
            </w:r>
            <w:r>
              <w:rPr>
                <w:rFonts w:hint="eastAsia" w:ascii="仿宋" w:hAnsi="仿宋" w:eastAsia="仿宋" w:cs="仿宋"/>
                <w:snapToGrid w:val="0"/>
                <w:color w:val="000000" w:themeColor="text1"/>
                <w:spacing w:val="6"/>
                <w:kern w:val="0"/>
                <w:sz w:val="18"/>
                <w:szCs w:val="18"/>
                <w14:textFill>
                  <w14:solidFill>
                    <w14:schemeClr w14:val="tx1"/>
                  </w14:solidFill>
                </w14:textFill>
              </w:rPr>
              <w:t>e</w:t>
            </w:r>
            <w:r>
              <w:rPr>
                <w:rFonts w:hint="eastAsia" w:ascii="宋体" w:hAnsi="宋体" w:eastAsia="宋体"/>
                <w:b/>
                <w:bCs/>
                <w:color w:val="000000" w:themeColor="text1"/>
                <w:kern w:val="0"/>
                <w:sz w:val="18"/>
                <w:szCs w:val="18"/>
                <w14:textFill>
                  <w14:solidFill>
                    <w14:schemeClr w14:val="tx1"/>
                  </w14:solidFill>
                </w14:textFill>
              </w:rPr>
              <w:t>/万元）</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A.农、林、牧、渔业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12780</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61.72</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0.00483</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B.采矿业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C.制造业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390189.8821</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230620.5</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0.59105</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D.电力、燃气及水的生产和供应业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2080</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213.81</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0.10279</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E.建筑业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183798.8614</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2181.13</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0.01187</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F.交通运输、仓储和邮政业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71597.3975</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8951.33</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0.12502</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G.信息传输、计算机服务和软件业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2600</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3933.93</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1.51305</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H.批发和零售业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25603</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2385.41</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0.09317</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I.住宿和餐饮业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900</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29.96</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0.03329</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J.金融业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K.房地产业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17040</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L.租赁和商务服务业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27913</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1666.17</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0.05969</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M.科学研究、技术服务和地质勘查业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1800</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78.89</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0.04383</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N.水利、环境和公共设施管理业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5500</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174.73</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0.03177</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O.居民服务和其他服务业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500</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4.79</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0.00958</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P.教育</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Q.卫生、社会保障和社会福利业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R.文化、体育和娱乐业</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10000</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359.52</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0.03595</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S.公共管理和社会组织</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r>
      <w:tr>
        <w:tblPrEx>
          <w:tblLayout w:type="fixed"/>
          <w:tblCellMar>
            <w:top w:w="0" w:type="dxa"/>
            <w:left w:w="108" w:type="dxa"/>
            <w:bottom w:w="0" w:type="dxa"/>
            <w:right w:w="108" w:type="dxa"/>
          </w:tblCellMar>
        </w:tblPrEx>
        <w:trPr>
          <w:trHeight w:val="411"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T.国际组织</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r>
      <w:tr>
        <w:tblPrEx>
          <w:tblLayout w:type="fixed"/>
          <w:tblCellMar>
            <w:top w:w="0" w:type="dxa"/>
            <w:left w:w="108" w:type="dxa"/>
            <w:bottom w:w="0" w:type="dxa"/>
            <w:right w:w="108" w:type="dxa"/>
          </w:tblCellMar>
        </w:tblPrEx>
        <w:trPr>
          <w:trHeight w:val="429" w:hRule="atLeast"/>
          <w:jc w:val="center"/>
        </w:trPr>
        <w:tc>
          <w:tcPr>
            <w:tcW w:w="439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总计</w:t>
            </w:r>
          </w:p>
        </w:tc>
        <w:tc>
          <w:tcPr>
            <w:tcW w:w="167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752302.141</w:t>
            </w:r>
          </w:p>
        </w:tc>
        <w:tc>
          <w:tcPr>
            <w:tcW w:w="152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250661.89</w:t>
            </w:r>
          </w:p>
        </w:tc>
        <w:tc>
          <w:tcPr>
            <w:tcW w:w="155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ind w:firstLine="0" w:firstLineChars="0"/>
              <w:jc w:val="center"/>
              <w:rPr>
                <w:rFonts w:ascii="宋体" w:hAnsi="宋体" w:eastAsia="宋体"/>
                <w:color w:val="000000" w:themeColor="text1"/>
                <w:kern w:val="0"/>
                <w:sz w:val="20"/>
                <w:szCs w:val="20"/>
                <w14:textFill>
                  <w14:solidFill>
                    <w14:schemeClr w14:val="tx1"/>
                  </w14:solidFill>
                </w14:textFill>
              </w:rPr>
            </w:pPr>
            <w:r>
              <w:rPr>
                <w:rFonts w:hint="eastAsia" w:ascii="宋体" w:hAnsi="宋体" w:eastAsia="宋体" w:cs="宋体"/>
                <w:b w:val="0"/>
                <w:bCs/>
                <w:color w:val="000000"/>
                <w:kern w:val="0"/>
                <w:sz w:val="18"/>
                <w:szCs w:val="18"/>
                <w:lang w:val="en-US" w:eastAsia="zh-CN"/>
              </w:rPr>
              <w:t>0.33319</w:t>
            </w:r>
          </w:p>
        </w:tc>
      </w:tr>
    </w:tbl>
    <w:p>
      <w:pPr>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pPr>
        <w:pStyle w:val="2"/>
        <w:tabs>
          <w:tab w:val="clear" w:pos="420"/>
        </w:tabs>
        <w:ind w:left="0" w:leftChars="0" w:firstLine="0" w:firstLineChars="0"/>
        <w:rPr>
          <w:rFonts w:hint="eastAsia" w:hAnsi="Times New Roman" w:cs="宋体"/>
        </w:rPr>
      </w:pPr>
      <w:bookmarkStart w:id="32" w:name="_Toc175305015"/>
      <w:r>
        <w:rPr>
          <w:rFonts w:hint="eastAsia" w:hAnsi="Times New Roman" w:cs="宋体"/>
        </w:rPr>
        <w:t>绿色资产的节能减排</w:t>
      </w:r>
      <w:bookmarkEnd w:id="32"/>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33" w:name="_Toc175305016"/>
      <w:r>
        <w:rPr>
          <w:rFonts w:hint="eastAsia" w:ascii="黑体" w:hAnsi="黑体" w:eastAsia="黑体" w:cs="黑体"/>
          <w:b w:val="0"/>
          <w:bCs w:val="0"/>
          <w:color w:val="000000"/>
          <w:sz w:val="28"/>
          <w:szCs w:val="28"/>
          <w:highlight w:val="none"/>
          <w:lang w:val="en-US" w:eastAsia="zh-CN"/>
        </w:rPr>
        <w:t>8.1 绿色信贷（项目业务）</w:t>
      </w:r>
      <w:bookmarkEnd w:id="33"/>
    </w:p>
    <w:p>
      <w:pPr>
        <w:widowControl/>
        <w:kinsoku w:val="0"/>
        <w:autoSpaceDE w:val="0"/>
        <w:autoSpaceDN w:val="0"/>
        <w:adjustRightInd w:val="0"/>
        <w:snapToGrid w:val="0"/>
        <w:spacing w:before="156" w:beforeLines="50" w:line="240" w:lineRule="auto"/>
        <w:ind w:firstLine="504"/>
        <w:textAlignment w:val="baseline"/>
        <w:rPr>
          <w:rFonts w:ascii="方正仿宋_GBK" w:hAnsi="方正仿宋_GBK" w:cs="方正仿宋_GBK"/>
          <w:b/>
          <w:bCs/>
          <w:color w:val="000000" w:themeColor="text1"/>
          <w:kern w:val="0"/>
          <w:sz w:val="20"/>
          <w:szCs w:val="20"/>
          <w14:textFill>
            <w14:solidFill>
              <w14:schemeClr w14:val="tx1"/>
            </w14:solidFill>
          </w14:textFill>
        </w:rPr>
      </w:pPr>
      <w:r>
        <w:rPr>
          <w:rFonts w:hint="eastAsia" w:ascii="仿宋" w:hAnsi="仿宋" w:eastAsia="仿宋" w:cs="仿宋"/>
          <w:snapToGrid w:val="0"/>
          <w:color w:val="000000"/>
          <w:spacing w:val="6"/>
          <w:kern w:val="0"/>
          <w:sz w:val="24"/>
          <w:szCs w:val="24"/>
          <w:lang w:val="en-US" w:eastAsia="zh-CN"/>
        </w:rPr>
        <w:t>本行未收集到2023年度绿色项目节能减排基础数据</w:t>
      </w:r>
      <w:r>
        <w:rPr>
          <w:rFonts w:hint="eastAsia" w:ascii="方正仿宋_GBK" w:hAnsi="方正仿宋_GBK" w:cs="方正仿宋_GBK"/>
          <w:b/>
          <w:bCs/>
          <w:color w:val="000000" w:themeColor="text1"/>
          <w:kern w:val="0"/>
          <w:sz w:val="20"/>
          <w:szCs w:val="20"/>
          <w14:textFill>
            <w14:solidFill>
              <w14:schemeClr w14:val="tx1"/>
            </w14:solidFill>
          </w14:textFill>
        </w:rPr>
        <w:t>。</w:t>
      </w:r>
    </w:p>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8-1绿色信贷-项目业务的节能减排</w:t>
      </w:r>
    </w:p>
    <w:tbl>
      <w:tblPr>
        <w:tblStyle w:val="22"/>
        <w:tblW w:w="9539" w:type="dxa"/>
        <w:tblInd w:w="91" w:type="dxa"/>
        <w:tblLayout w:type="fixed"/>
        <w:tblCellMar>
          <w:top w:w="0" w:type="dxa"/>
          <w:left w:w="108" w:type="dxa"/>
          <w:bottom w:w="0" w:type="dxa"/>
          <w:right w:w="108" w:type="dxa"/>
        </w:tblCellMar>
      </w:tblPr>
      <w:tblGrid>
        <w:gridCol w:w="3081"/>
        <w:gridCol w:w="4025"/>
        <w:gridCol w:w="2433"/>
      </w:tblGrid>
      <w:tr>
        <w:tblPrEx>
          <w:tblLayout w:type="fixed"/>
          <w:tblCellMar>
            <w:top w:w="0" w:type="dxa"/>
            <w:left w:w="108" w:type="dxa"/>
            <w:bottom w:w="0" w:type="dxa"/>
            <w:right w:w="108" w:type="dxa"/>
          </w:tblCellMar>
        </w:tblPrEx>
        <w:trPr>
          <w:trHeight w:val="781" w:hRule="atLeast"/>
        </w:trPr>
        <w:tc>
          <w:tcPr>
            <w:tcW w:w="71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textAlignment w:val="center"/>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kern w:val="0"/>
                <w:sz w:val="18"/>
                <w:szCs w:val="18"/>
                <w14:textFill>
                  <w14:solidFill>
                    <w14:schemeClr w14:val="tx1"/>
                  </w14:solidFill>
                </w14:textFill>
              </w:rPr>
              <w:t>指标名称</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rPr>
                <w:rFonts w:ascii="宋体" w:hAnsi="宋体" w:eastAsia="宋体"/>
                <w:color w:val="000000" w:themeColor="text1"/>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指标值</w:t>
            </w:r>
          </w:p>
        </w:tc>
      </w:tr>
      <w:tr>
        <w:tblPrEx>
          <w:tblLayout w:type="fixed"/>
          <w:tblCellMar>
            <w:top w:w="0" w:type="dxa"/>
            <w:left w:w="108" w:type="dxa"/>
            <w:bottom w:w="0" w:type="dxa"/>
            <w:right w:w="108" w:type="dxa"/>
          </w:tblCellMar>
        </w:tblPrEx>
        <w:trPr>
          <w:trHeight w:val="395" w:hRule="atLeast"/>
        </w:trPr>
        <w:tc>
          <w:tcPr>
            <w:tcW w:w="30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textAlignment w:val="center"/>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绿色信贷余额及占比</w:t>
            </w:r>
          </w:p>
        </w:tc>
        <w:tc>
          <w:tcPr>
            <w:tcW w:w="4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textAlignment w:val="center"/>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绿色信贷余额（万元）</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eastAsia" w:ascii="宋体" w:hAnsi="宋体" w:eastAsia="宋体" w:cs="宋体"/>
                <w:b w:val="0"/>
                <w:bCs/>
                <w:color w:val="000000"/>
                <w:kern w:val="0"/>
                <w:sz w:val="18"/>
                <w:szCs w:val="18"/>
                <w:lang w:val="en-US" w:eastAsia="zh-CN" w:bidi="ar-SA"/>
              </w:rPr>
            </w:pPr>
            <w:r>
              <w:rPr>
                <w:rFonts w:hint="eastAsia" w:ascii="宋体" w:hAnsi="宋体" w:eastAsia="宋体" w:cs="宋体"/>
                <w:b w:val="0"/>
                <w:bCs/>
                <w:color w:val="000000"/>
                <w:kern w:val="0"/>
                <w:sz w:val="18"/>
                <w:szCs w:val="18"/>
                <w:lang w:val="en-US" w:eastAsia="zh-CN"/>
              </w:rPr>
              <w:t>107003.46</w:t>
            </w:r>
          </w:p>
        </w:tc>
      </w:tr>
      <w:tr>
        <w:tblPrEx>
          <w:tblLayout w:type="fixed"/>
          <w:tblCellMar>
            <w:top w:w="0" w:type="dxa"/>
            <w:left w:w="108" w:type="dxa"/>
            <w:bottom w:w="0" w:type="dxa"/>
            <w:right w:w="108" w:type="dxa"/>
          </w:tblCellMar>
        </w:tblPrEx>
        <w:trPr>
          <w:trHeight w:val="395" w:hRule="atLeast"/>
        </w:trPr>
        <w:tc>
          <w:tcPr>
            <w:tcW w:w="30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textAlignment w:val="center"/>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绿色信贷余额及占比</w:t>
            </w:r>
          </w:p>
        </w:tc>
        <w:tc>
          <w:tcPr>
            <w:tcW w:w="4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textAlignment w:val="center"/>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各项贷款余额（万元）</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3908831.03</w:t>
            </w:r>
          </w:p>
        </w:tc>
      </w:tr>
      <w:tr>
        <w:tblPrEx>
          <w:tblLayout w:type="fixed"/>
          <w:tblCellMar>
            <w:top w:w="0" w:type="dxa"/>
            <w:left w:w="108" w:type="dxa"/>
            <w:bottom w:w="0" w:type="dxa"/>
            <w:right w:w="108" w:type="dxa"/>
          </w:tblCellMar>
        </w:tblPrEx>
        <w:trPr>
          <w:trHeight w:val="395" w:hRule="atLeast"/>
        </w:trPr>
        <w:tc>
          <w:tcPr>
            <w:tcW w:w="30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textAlignment w:val="center"/>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绿色信贷余额及占比</w:t>
            </w:r>
          </w:p>
        </w:tc>
        <w:tc>
          <w:tcPr>
            <w:tcW w:w="4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textAlignment w:val="center"/>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绿色信贷占比（%）</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宋体" w:hAnsi="宋体" w:eastAsia="宋体"/>
                <w:color w:val="000000" w:themeColor="text1"/>
                <w:kern w:val="0"/>
                <w:sz w:val="18"/>
                <w:szCs w:val="18"/>
                <w:lang w:val="en-US" w:eastAsia="zh-CN"/>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2.7375%</w:t>
            </w:r>
          </w:p>
        </w:tc>
      </w:tr>
      <w:tr>
        <w:tblPrEx>
          <w:tblLayout w:type="fixed"/>
          <w:tblCellMar>
            <w:top w:w="0" w:type="dxa"/>
            <w:left w:w="108" w:type="dxa"/>
            <w:bottom w:w="0" w:type="dxa"/>
            <w:right w:w="108" w:type="dxa"/>
          </w:tblCellMar>
        </w:tblPrEx>
        <w:trPr>
          <w:trHeight w:val="395" w:hRule="atLeast"/>
        </w:trPr>
        <w:tc>
          <w:tcPr>
            <w:tcW w:w="30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textAlignment w:val="center"/>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绿色信贷余额及占比</w:t>
            </w:r>
          </w:p>
        </w:tc>
        <w:tc>
          <w:tcPr>
            <w:tcW w:w="4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textAlignment w:val="center"/>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绿色信贷不良贷款余额（万元）</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eastAsia" w:ascii="宋体" w:hAnsi="宋体" w:eastAsia="宋体"/>
                <w:color w:val="000000" w:themeColor="text1"/>
                <w:kern w:val="0"/>
                <w:sz w:val="18"/>
                <w:szCs w:val="18"/>
                <w:lang w:val="en-US" w:eastAsia="zh-CN"/>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0</w:t>
            </w:r>
          </w:p>
        </w:tc>
      </w:tr>
      <w:tr>
        <w:tblPrEx>
          <w:tblLayout w:type="fixed"/>
          <w:tblCellMar>
            <w:top w:w="0" w:type="dxa"/>
            <w:left w:w="108" w:type="dxa"/>
            <w:bottom w:w="0" w:type="dxa"/>
            <w:right w:w="108" w:type="dxa"/>
          </w:tblCellMar>
        </w:tblPrEx>
        <w:trPr>
          <w:trHeight w:val="395" w:hRule="atLeast"/>
        </w:trPr>
        <w:tc>
          <w:tcPr>
            <w:tcW w:w="30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textAlignment w:val="center"/>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绿色信贷余额及占比</w:t>
            </w:r>
          </w:p>
        </w:tc>
        <w:tc>
          <w:tcPr>
            <w:tcW w:w="4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textAlignment w:val="center"/>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绿色信贷不良率（%）</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hint="default" w:ascii="宋体" w:hAnsi="宋体" w:eastAsia="宋体"/>
                <w:color w:val="000000" w:themeColor="text1"/>
                <w:kern w:val="0"/>
                <w:sz w:val="18"/>
                <w:szCs w:val="18"/>
                <w:lang w:val="en-US" w:eastAsia="zh-CN"/>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0%</w:t>
            </w:r>
          </w:p>
        </w:tc>
      </w:tr>
    </w:tbl>
    <w:p>
      <w:pPr>
        <w:widowControl/>
        <w:kinsoku w:val="0"/>
        <w:autoSpaceDE w:val="0"/>
        <w:autoSpaceDN w:val="0"/>
        <w:adjustRightInd w:val="0"/>
        <w:snapToGrid w:val="0"/>
        <w:spacing w:before="156" w:beforeLines="50" w:line="240" w:lineRule="auto"/>
        <w:ind w:firstLine="0" w:firstLineChars="0"/>
        <w:textAlignment w:val="baseline"/>
        <w:rPr>
          <w:rFonts w:ascii="仿宋" w:hAnsi="仿宋" w:eastAsia="仿宋" w:cs="仿宋"/>
          <w:b/>
          <w:bCs/>
          <w:snapToGrid w:val="0"/>
          <w:color w:val="000000" w:themeColor="text1"/>
          <w:spacing w:val="6"/>
          <w:kern w:val="0"/>
          <w:sz w:val="24"/>
          <w:szCs w:val="24"/>
          <w14:textFill>
            <w14:solidFill>
              <w14:schemeClr w14:val="tx1"/>
            </w14:solidFill>
          </w14:textFill>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34" w:name="_Toc175305017"/>
      <w:r>
        <w:rPr>
          <w:rFonts w:hint="eastAsia" w:ascii="黑体" w:hAnsi="黑体" w:eastAsia="黑体" w:cs="黑体"/>
          <w:b w:val="0"/>
          <w:bCs w:val="0"/>
          <w:color w:val="000000"/>
          <w:sz w:val="28"/>
          <w:szCs w:val="28"/>
          <w:highlight w:val="none"/>
          <w:lang w:val="en-US" w:eastAsia="zh-CN"/>
        </w:rPr>
        <w:t>8.2 绿色产业</w:t>
      </w:r>
      <w:bookmarkEnd w:id="34"/>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ascii="方正仿宋_GBK" w:hAnsi="方正仿宋_GBK" w:cs="方正仿宋_GBK"/>
          <w:b/>
          <w:bCs/>
          <w:color w:val="000000" w:themeColor="text1"/>
          <w:kern w:val="0"/>
          <w:sz w:val="20"/>
          <w:szCs w:val="20"/>
          <w14:textFill>
            <w14:solidFill>
              <w14:schemeClr w14:val="tx1"/>
            </w14:solidFill>
          </w14:textFill>
        </w:rPr>
      </w:pPr>
      <w:r>
        <w:rPr>
          <w:rFonts w:hint="eastAsia" w:ascii="仿宋" w:hAnsi="仿宋" w:eastAsia="仿宋" w:cs="仿宋"/>
          <w:snapToGrid w:val="0"/>
          <w:color w:val="000000"/>
          <w:spacing w:val="6"/>
          <w:kern w:val="0"/>
          <w:sz w:val="24"/>
          <w:szCs w:val="24"/>
          <w:lang w:val="en-US" w:eastAsia="zh-CN"/>
        </w:rPr>
        <w:t>本行未收集到2023年度绿色项目节能减排基础数据</w:t>
      </w:r>
      <w:r>
        <w:rPr>
          <w:rFonts w:hint="eastAsia" w:ascii="方正仿宋_GBK" w:hAnsi="方正仿宋_GBK" w:cs="方正仿宋_GBK"/>
          <w:b/>
          <w:bCs/>
          <w:color w:val="000000" w:themeColor="text1"/>
          <w:kern w:val="0"/>
          <w:sz w:val="20"/>
          <w:szCs w:val="20"/>
          <w14:textFill>
            <w14:solidFill>
              <w14:schemeClr w14:val="tx1"/>
            </w14:solidFill>
          </w14:textFill>
        </w:rPr>
        <w:t>。</w:t>
      </w:r>
    </w:p>
    <w:p>
      <w:pPr>
        <w:widowControl/>
        <w:spacing w:line="240" w:lineRule="auto"/>
        <w:ind w:firstLine="0" w:firstLineChars="0"/>
        <w:jc w:val="center"/>
        <w:rPr>
          <w:rFonts w:ascii="宋体" w:hAnsi="宋体" w:eastAsia="宋体"/>
          <w:b/>
          <w:bCs/>
          <w:color w:val="000000" w:themeColor="text1"/>
          <w:kern w:val="0"/>
          <w:sz w:val="18"/>
          <w:szCs w:val="18"/>
          <w14:textFill>
            <w14:solidFill>
              <w14:schemeClr w14:val="tx1"/>
            </w14:solidFill>
          </w14:textFill>
        </w:rPr>
      </w:pPr>
      <w:r>
        <w:rPr>
          <w:rFonts w:hint="eastAsia" w:ascii="宋体" w:hAnsi="宋体" w:eastAsia="宋体"/>
          <w:b/>
          <w:bCs/>
          <w:color w:val="000000" w:themeColor="text1"/>
          <w:kern w:val="0"/>
          <w:sz w:val="18"/>
          <w:szCs w:val="18"/>
          <w14:textFill>
            <w14:solidFill>
              <w14:schemeClr w14:val="tx1"/>
            </w14:solidFill>
          </w14:textFill>
        </w:rPr>
        <w:t>8-2绿色信贷-项目业务（七大绿色产业）的节能减排</w:t>
      </w:r>
    </w:p>
    <w:tbl>
      <w:tblPr>
        <w:tblStyle w:val="22"/>
        <w:tblW w:w="9799" w:type="dxa"/>
        <w:jc w:val="center"/>
        <w:tblInd w:w="0" w:type="dxa"/>
        <w:tblLayout w:type="fixed"/>
        <w:tblCellMar>
          <w:top w:w="0" w:type="dxa"/>
          <w:left w:w="108" w:type="dxa"/>
          <w:bottom w:w="0" w:type="dxa"/>
          <w:right w:w="108" w:type="dxa"/>
        </w:tblCellMar>
      </w:tblPr>
      <w:tblGrid>
        <w:gridCol w:w="865"/>
        <w:gridCol w:w="2867"/>
        <w:gridCol w:w="773"/>
        <w:gridCol w:w="774"/>
        <w:gridCol w:w="693"/>
        <w:gridCol w:w="760"/>
        <w:gridCol w:w="773"/>
        <w:gridCol w:w="760"/>
        <w:gridCol w:w="787"/>
        <w:gridCol w:w="747"/>
      </w:tblGrid>
      <w:tr>
        <w:tblPrEx>
          <w:tblLayout w:type="fixed"/>
          <w:tblCellMar>
            <w:top w:w="0" w:type="dxa"/>
            <w:left w:w="108" w:type="dxa"/>
            <w:bottom w:w="0" w:type="dxa"/>
            <w:right w:w="108" w:type="dxa"/>
          </w:tblCellMar>
        </w:tblPrEx>
        <w:trPr>
          <w:trHeight w:val="514" w:hRule="atLeast"/>
          <w:jc w:val="center"/>
        </w:trPr>
        <w:tc>
          <w:tcPr>
            <w:tcW w:w="3732" w:type="dxa"/>
            <w:gridSpan w:val="2"/>
            <w:vMerge w:val="restart"/>
            <w:tcBorders>
              <w:top w:val="single" w:color="000000" w:sz="4" w:space="0"/>
              <w:left w:val="single" w:color="000000" w:sz="4" w:space="0"/>
              <w:right w:val="single" w:color="000000" w:sz="4" w:space="0"/>
            </w:tcBorders>
            <w:shd w:val="clear" w:color="auto" w:fill="auto"/>
            <w:vAlign w:val="center"/>
          </w:tcPr>
          <w:p>
            <w:pPr>
              <w:widowControl/>
              <w:ind w:firstLine="0" w:firstLineChars="0"/>
              <w:jc w:val="center"/>
              <w:textAlignment w:val="top"/>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kern w:val="0"/>
                <w:sz w:val="18"/>
                <w:szCs w:val="18"/>
                <w14:textFill>
                  <w14:solidFill>
                    <w14:schemeClr w14:val="tx1"/>
                  </w14:solidFill>
                </w14:textFill>
              </w:rPr>
              <w:t>指标名称</w:t>
            </w:r>
          </w:p>
        </w:tc>
        <w:tc>
          <w:tcPr>
            <w:tcW w:w="6067" w:type="dxa"/>
            <w:gridSpan w:val="8"/>
            <w:tcBorders>
              <w:top w:val="single" w:color="000000" w:sz="4" w:space="0"/>
              <w:left w:val="single" w:color="000000" w:sz="4" w:space="0"/>
              <w:bottom w:val="single" w:color="000000" w:sz="4" w:space="0"/>
              <w:right w:val="single" w:color="000000" w:sz="4" w:space="0"/>
            </w:tcBorders>
            <w:shd w:val="clear" w:color="auto" w:fill="auto"/>
            <w:noWrap/>
          </w:tcPr>
          <w:p>
            <w:pPr>
              <w:widowControl/>
              <w:ind w:firstLine="0" w:firstLineChars="0"/>
              <w:jc w:val="center"/>
              <w:textAlignment w:val="top"/>
              <w:rPr>
                <w:rFonts w:ascii="宋体" w:hAnsi="宋体" w:eastAsia="宋体"/>
                <w:color w:val="000000" w:themeColor="text1"/>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绿色信贷-项目业务的节能减排（七大绿色产业）</w:t>
            </w:r>
          </w:p>
        </w:tc>
      </w:tr>
      <w:tr>
        <w:tblPrEx>
          <w:tblLayout w:type="fixed"/>
          <w:tblCellMar>
            <w:top w:w="0" w:type="dxa"/>
            <w:left w:w="108" w:type="dxa"/>
            <w:bottom w:w="0" w:type="dxa"/>
            <w:right w:w="108" w:type="dxa"/>
          </w:tblCellMar>
        </w:tblPrEx>
        <w:trPr>
          <w:trHeight w:val="1902" w:hRule="atLeast"/>
          <w:jc w:val="center"/>
        </w:trPr>
        <w:tc>
          <w:tcPr>
            <w:tcW w:w="3732" w:type="dxa"/>
            <w:gridSpan w:val="2"/>
            <w:vMerge w:val="continue"/>
            <w:tcBorders>
              <w:left w:val="single" w:color="000000" w:sz="4" w:space="0"/>
              <w:bottom w:val="single" w:color="000000" w:sz="4" w:space="0"/>
              <w:right w:val="single" w:color="000000" w:sz="4" w:space="0"/>
            </w:tcBorders>
            <w:shd w:val="clear" w:color="auto" w:fill="auto"/>
          </w:tcPr>
          <w:p>
            <w:pPr>
              <w:ind w:firstLine="0" w:firstLineChars="0"/>
              <w:jc w:val="left"/>
              <w:rPr>
                <w:rFonts w:ascii="宋体" w:hAnsi="宋体" w:eastAsia="宋体" w:cs="方正仿宋_GBK"/>
                <w:color w:val="000000" w:themeColor="text1"/>
                <w:sz w:val="18"/>
                <w:szCs w:val="18"/>
                <w14:textFill>
                  <w14:solidFill>
                    <w14:schemeClr w14:val="tx1"/>
                  </w14:solidFill>
                </w14:textFill>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tcPr>
          <w:p>
            <w:pPr>
              <w:widowControl/>
              <w:ind w:firstLine="0" w:firstLineChars="0"/>
              <w:jc w:val="left"/>
              <w:textAlignment w:val="top"/>
              <w:rPr>
                <w:rFonts w:ascii="宋体" w:hAnsi="宋体" w:eastAsia="宋体"/>
                <w:color w:val="000000" w:themeColor="text1"/>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1 节能降碳产业</w:t>
            </w:r>
          </w:p>
        </w:tc>
        <w:tc>
          <w:tcPr>
            <w:tcW w:w="774" w:type="dxa"/>
            <w:tcBorders>
              <w:top w:val="single" w:color="000000" w:sz="4" w:space="0"/>
              <w:left w:val="single" w:color="000000" w:sz="4" w:space="0"/>
              <w:bottom w:val="single" w:color="000000" w:sz="4" w:space="0"/>
              <w:right w:val="single" w:color="000000" w:sz="4" w:space="0"/>
            </w:tcBorders>
            <w:shd w:val="clear" w:color="auto" w:fill="auto"/>
          </w:tcPr>
          <w:p>
            <w:pPr>
              <w:widowControl/>
              <w:ind w:firstLine="0" w:firstLineChars="0"/>
              <w:jc w:val="left"/>
              <w:textAlignment w:val="top"/>
              <w:rPr>
                <w:rFonts w:ascii="宋体" w:hAnsi="宋体" w:eastAsia="宋体"/>
                <w:color w:val="000000" w:themeColor="text1"/>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2 环境保护产业</w:t>
            </w:r>
          </w:p>
        </w:tc>
        <w:tc>
          <w:tcPr>
            <w:tcW w:w="693" w:type="dxa"/>
            <w:tcBorders>
              <w:top w:val="single" w:color="000000" w:sz="4" w:space="0"/>
              <w:left w:val="single" w:color="000000" w:sz="4" w:space="0"/>
              <w:bottom w:val="single" w:color="000000" w:sz="4" w:space="0"/>
              <w:right w:val="single" w:color="000000" w:sz="4" w:space="0"/>
            </w:tcBorders>
            <w:shd w:val="clear" w:color="auto" w:fill="auto"/>
          </w:tcPr>
          <w:p>
            <w:pPr>
              <w:widowControl/>
              <w:ind w:firstLine="0" w:firstLineChars="0"/>
              <w:jc w:val="left"/>
              <w:textAlignment w:val="top"/>
              <w:rPr>
                <w:rFonts w:ascii="宋体" w:hAnsi="宋体" w:eastAsia="宋体"/>
                <w:color w:val="000000" w:themeColor="text1"/>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3 资源循环利用产业</w:t>
            </w:r>
          </w:p>
        </w:tc>
        <w:tc>
          <w:tcPr>
            <w:tcW w:w="760" w:type="dxa"/>
            <w:tcBorders>
              <w:top w:val="single" w:color="000000" w:sz="4" w:space="0"/>
              <w:left w:val="single" w:color="000000" w:sz="4" w:space="0"/>
              <w:bottom w:val="single" w:color="000000" w:sz="4" w:space="0"/>
              <w:right w:val="single" w:color="000000" w:sz="4" w:space="0"/>
            </w:tcBorders>
            <w:shd w:val="clear" w:color="auto" w:fill="auto"/>
          </w:tcPr>
          <w:p>
            <w:pPr>
              <w:widowControl/>
              <w:ind w:firstLine="0" w:firstLineChars="0"/>
              <w:jc w:val="left"/>
              <w:textAlignment w:val="top"/>
              <w:rPr>
                <w:rFonts w:ascii="宋体" w:hAnsi="宋体" w:eastAsia="宋体"/>
                <w:color w:val="000000" w:themeColor="text1"/>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4 清洁能源产业</w:t>
            </w:r>
          </w:p>
        </w:tc>
        <w:tc>
          <w:tcPr>
            <w:tcW w:w="773" w:type="dxa"/>
            <w:tcBorders>
              <w:top w:val="single" w:color="000000" w:sz="4" w:space="0"/>
              <w:left w:val="single" w:color="000000" w:sz="4" w:space="0"/>
              <w:bottom w:val="single" w:color="000000" w:sz="4" w:space="0"/>
              <w:right w:val="single" w:color="000000" w:sz="4" w:space="0"/>
            </w:tcBorders>
            <w:shd w:val="clear" w:color="auto" w:fill="auto"/>
          </w:tcPr>
          <w:p>
            <w:pPr>
              <w:widowControl/>
              <w:ind w:firstLine="0" w:firstLineChars="0"/>
              <w:jc w:val="left"/>
              <w:textAlignment w:val="top"/>
              <w:rPr>
                <w:rFonts w:ascii="宋体" w:hAnsi="宋体" w:eastAsia="宋体"/>
                <w:color w:val="000000" w:themeColor="text1"/>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5 生态保护修复和利用</w:t>
            </w:r>
          </w:p>
        </w:tc>
        <w:tc>
          <w:tcPr>
            <w:tcW w:w="760" w:type="dxa"/>
            <w:tcBorders>
              <w:top w:val="single" w:color="000000" w:sz="4" w:space="0"/>
              <w:left w:val="single" w:color="000000" w:sz="4" w:space="0"/>
              <w:bottom w:val="single" w:color="000000" w:sz="4" w:space="0"/>
              <w:right w:val="single" w:color="000000" w:sz="4" w:space="0"/>
            </w:tcBorders>
            <w:shd w:val="clear" w:color="auto" w:fill="auto"/>
          </w:tcPr>
          <w:p>
            <w:pPr>
              <w:widowControl/>
              <w:ind w:firstLine="0" w:firstLineChars="0"/>
              <w:jc w:val="left"/>
              <w:textAlignment w:val="top"/>
              <w:rPr>
                <w:rFonts w:ascii="宋体" w:hAnsi="宋体" w:eastAsia="宋体"/>
                <w:color w:val="000000" w:themeColor="text1"/>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6 基础设施绿色升级</w:t>
            </w:r>
          </w:p>
        </w:tc>
        <w:tc>
          <w:tcPr>
            <w:tcW w:w="787" w:type="dxa"/>
            <w:tcBorders>
              <w:top w:val="single" w:color="000000" w:sz="4" w:space="0"/>
              <w:left w:val="single" w:color="000000" w:sz="4" w:space="0"/>
              <w:bottom w:val="single" w:color="000000" w:sz="4" w:space="0"/>
              <w:right w:val="single" w:color="000000" w:sz="4" w:space="0"/>
            </w:tcBorders>
            <w:shd w:val="clear" w:color="auto" w:fill="auto"/>
          </w:tcPr>
          <w:p>
            <w:pPr>
              <w:widowControl/>
              <w:ind w:firstLine="0" w:firstLineChars="0"/>
              <w:jc w:val="left"/>
              <w:textAlignment w:val="top"/>
              <w:rPr>
                <w:rFonts w:ascii="宋体" w:hAnsi="宋体" w:eastAsia="宋体"/>
                <w:color w:val="000000" w:themeColor="text1"/>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7 绿色服务</w:t>
            </w:r>
          </w:p>
        </w:tc>
        <w:tc>
          <w:tcPr>
            <w:tcW w:w="747" w:type="dxa"/>
            <w:tcBorders>
              <w:top w:val="single" w:color="000000" w:sz="4" w:space="0"/>
              <w:left w:val="single" w:color="000000" w:sz="4" w:space="0"/>
              <w:bottom w:val="single" w:color="000000" w:sz="4" w:space="0"/>
              <w:right w:val="single" w:color="000000" w:sz="4" w:space="0"/>
            </w:tcBorders>
            <w:shd w:val="clear" w:color="auto" w:fill="auto"/>
          </w:tcPr>
          <w:p>
            <w:pPr>
              <w:widowControl/>
              <w:ind w:firstLine="0" w:firstLineChars="0"/>
              <w:jc w:val="left"/>
              <w:textAlignment w:val="top"/>
              <w:rPr>
                <w:rFonts w:ascii="宋体" w:hAnsi="宋体" w:eastAsia="宋体"/>
                <w:color w:val="000000" w:themeColor="text1"/>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合计</w:t>
            </w:r>
          </w:p>
        </w:tc>
      </w:tr>
      <w:tr>
        <w:tblPrEx>
          <w:tblLayout w:type="fixed"/>
          <w:tblCellMar>
            <w:top w:w="0" w:type="dxa"/>
            <w:left w:w="108" w:type="dxa"/>
            <w:bottom w:w="0" w:type="dxa"/>
            <w:right w:w="108" w:type="dxa"/>
          </w:tblCellMar>
        </w:tblPrEx>
        <w:trPr>
          <w:trHeight w:val="386" w:hRule="atLeast"/>
          <w:jc w:val="center"/>
        </w:trPr>
        <w:tc>
          <w:tcPr>
            <w:tcW w:w="8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textAlignment w:val="top"/>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绿色信贷余额及占比</w:t>
            </w:r>
          </w:p>
        </w:tc>
        <w:tc>
          <w:tcPr>
            <w:tcW w:w="2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textAlignment w:val="top"/>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绿色信贷余额（万元）</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13121</w:t>
            </w: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2000</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13740</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28705</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49437.46</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107003.46</w:t>
            </w:r>
          </w:p>
        </w:tc>
      </w:tr>
      <w:tr>
        <w:tblPrEx>
          <w:tblLayout w:type="fixed"/>
          <w:tblCellMar>
            <w:top w:w="0" w:type="dxa"/>
            <w:left w:w="108" w:type="dxa"/>
            <w:bottom w:w="0" w:type="dxa"/>
            <w:right w:w="108" w:type="dxa"/>
          </w:tblCellMar>
        </w:tblPrEx>
        <w:trPr>
          <w:trHeight w:val="386" w:hRule="atLeast"/>
          <w:jc w:val="center"/>
        </w:trPr>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textAlignment w:val="top"/>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绿色信贷余额及占比</w:t>
            </w:r>
          </w:p>
        </w:tc>
        <w:tc>
          <w:tcPr>
            <w:tcW w:w="2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textAlignment w:val="top"/>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各项贷款余额（万元）</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360" w:firstLineChars="200"/>
              <w:jc w:val="center"/>
              <w:rPr>
                <w:rFonts w:hint="eastAsia" w:ascii="宋体" w:hAnsi="宋体" w:eastAsia="宋体"/>
                <w:color w:val="000000" w:themeColor="text1"/>
                <w:kern w:val="0"/>
                <w:sz w:val="18"/>
                <w:szCs w:val="18"/>
                <w:lang w:val="en-US" w:eastAsia="zh-CN"/>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3908831.03</w:t>
            </w:r>
          </w:p>
        </w:tc>
      </w:tr>
      <w:tr>
        <w:tblPrEx>
          <w:tblLayout w:type="fixed"/>
          <w:tblCellMar>
            <w:top w:w="0" w:type="dxa"/>
            <w:left w:w="108" w:type="dxa"/>
            <w:bottom w:w="0" w:type="dxa"/>
            <w:right w:w="108" w:type="dxa"/>
          </w:tblCellMar>
        </w:tblPrEx>
        <w:trPr>
          <w:trHeight w:val="386" w:hRule="atLeast"/>
          <w:jc w:val="center"/>
        </w:trPr>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textAlignment w:val="top"/>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绿色信贷余额及占比</w:t>
            </w:r>
          </w:p>
        </w:tc>
        <w:tc>
          <w:tcPr>
            <w:tcW w:w="2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textAlignment w:val="top"/>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绿色信贷占比（%）</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360" w:firstLineChars="20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2.7375%</w:t>
            </w:r>
          </w:p>
        </w:tc>
      </w:tr>
      <w:tr>
        <w:tblPrEx>
          <w:tblLayout w:type="fixed"/>
          <w:tblCellMar>
            <w:top w:w="0" w:type="dxa"/>
            <w:left w:w="108" w:type="dxa"/>
            <w:bottom w:w="0" w:type="dxa"/>
            <w:right w:w="108" w:type="dxa"/>
          </w:tblCellMar>
        </w:tblPrEx>
        <w:trPr>
          <w:trHeight w:val="386" w:hRule="atLeast"/>
          <w:jc w:val="center"/>
        </w:trPr>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textAlignment w:val="top"/>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绿色信贷余额及占比</w:t>
            </w:r>
          </w:p>
        </w:tc>
        <w:tc>
          <w:tcPr>
            <w:tcW w:w="2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textAlignment w:val="top"/>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绿色信贷不良贷款余额（万元）</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0</w:t>
            </w:r>
          </w:p>
        </w:tc>
      </w:tr>
      <w:tr>
        <w:tblPrEx>
          <w:tblLayout w:type="fixed"/>
          <w:tblCellMar>
            <w:top w:w="0" w:type="dxa"/>
            <w:left w:w="108" w:type="dxa"/>
            <w:bottom w:w="0" w:type="dxa"/>
            <w:right w:w="108" w:type="dxa"/>
          </w:tblCellMar>
        </w:tblPrEx>
        <w:trPr>
          <w:trHeight w:val="386" w:hRule="atLeast"/>
          <w:jc w:val="center"/>
        </w:trPr>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textAlignment w:val="top"/>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绿色信贷余额及占比</w:t>
            </w:r>
          </w:p>
        </w:tc>
        <w:tc>
          <w:tcPr>
            <w:tcW w:w="2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textAlignment w:val="top"/>
              <w:rPr>
                <w:rFonts w:ascii="宋体" w:hAnsi="宋体" w:eastAsia="宋体" w:cs="方正仿宋_GBK"/>
                <w:color w:val="000000" w:themeColor="text1"/>
                <w:sz w:val="18"/>
                <w:szCs w:val="18"/>
                <w14:textFill>
                  <w14:solidFill>
                    <w14:schemeClr w14:val="tx1"/>
                  </w14:solidFill>
                </w14:textFill>
              </w:rPr>
            </w:pPr>
            <w:r>
              <w:rPr>
                <w:rFonts w:hint="eastAsia" w:ascii="宋体" w:hAnsi="宋体" w:eastAsia="宋体" w:cs="方正仿宋_GBK"/>
                <w:color w:val="000000" w:themeColor="text1"/>
                <w:sz w:val="18"/>
                <w:szCs w:val="18"/>
                <w14:textFill>
                  <w14:solidFill>
                    <w14:schemeClr w14:val="tx1"/>
                  </w14:solidFill>
                </w14:textFill>
              </w:rPr>
              <w:t>绿色信贷不良率（%）</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s="宋体"/>
                <w:b w:val="0"/>
                <w:bCs/>
                <w:color w:val="000000"/>
                <w:kern w:val="0"/>
                <w:sz w:val="18"/>
                <w:szCs w:val="18"/>
                <w:lang w:val="en-US" w:eastAsia="zh-CN"/>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ind w:firstLine="0" w:firstLineChars="0"/>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lang w:val="en-US" w:eastAsia="zh-CN"/>
                <w14:textFill>
                  <w14:solidFill>
                    <w14:schemeClr w14:val="tx1"/>
                  </w14:solidFill>
                </w14:textFill>
              </w:rPr>
              <w:t>0%</w:t>
            </w:r>
          </w:p>
        </w:tc>
      </w:tr>
    </w:tbl>
    <w:p>
      <w:pPr>
        <w:ind w:firstLine="0" w:firstLineChars="0"/>
        <w:rPr>
          <w:rFonts w:ascii="仿宋" w:hAnsi="仿宋" w:eastAsia="仿宋" w:cs="仿宋"/>
          <w:b/>
          <w:bCs/>
          <w:snapToGrid w:val="0"/>
          <w:color w:val="000000" w:themeColor="text1"/>
          <w:spacing w:val="6"/>
          <w:kern w:val="0"/>
          <w:sz w:val="24"/>
          <w:szCs w:val="24"/>
          <w14:textFill>
            <w14:solidFill>
              <w14:schemeClr w14:val="tx1"/>
            </w14:solidFill>
          </w14:textFill>
        </w:rPr>
      </w:pPr>
    </w:p>
    <w:p>
      <w:pPr>
        <w:ind w:firstLine="0" w:firstLineChars="0"/>
        <w:rPr>
          <w:rFonts w:ascii="仿宋" w:hAnsi="仿宋" w:eastAsia="仿宋" w:cs="仿宋"/>
          <w:b/>
          <w:bCs/>
          <w:snapToGrid w:val="0"/>
          <w:color w:val="000000" w:themeColor="text1"/>
          <w:spacing w:val="6"/>
          <w:kern w:val="0"/>
          <w:sz w:val="24"/>
          <w:szCs w:val="24"/>
          <w14:textFill>
            <w14:solidFill>
              <w14:schemeClr w14:val="tx1"/>
            </w14:solidFill>
          </w14:textFill>
        </w:rPr>
      </w:pPr>
      <w:r>
        <w:rPr>
          <w:rFonts w:hint="eastAsia" w:ascii="仿宋" w:hAnsi="仿宋" w:eastAsia="仿宋" w:cs="仿宋"/>
          <w:b/>
          <w:bCs/>
          <w:snapToGrid w:val="0"/>
          <w:color w:val="000000" w:themeColor="text1"/>
          <w:spacing w:val="6"/>
          <w:kern w:val="0"/>
          <w:sz w:val="24"/>
          <w:szCs w:val="24"/>
          <w14:textFill>
            <w14:solidFill>
              <w14:schemeClr w14:val="tx1"/>
            </w14:solidFill>
          </w14:textFill>
        </w:rPr>
        <w:br w:type="page"/>
      </w:r>
    </w:p>
    <w:p>
      <w:pPr>
        <w:pStyle w:val="2"/>
        <w:tabs>
          <w:tab w:val="clear" w:pos="420"/>
        </w:tabs>
        <w:ind w:left="0" w:leftChars="0" w:firstLine="0" w:firstLineChars="0"/>
        <w:rPr>
          <w:rFonts w:hint="eastAsia" w:hAnsi="Times New Roman" w:cs="宋体"/>
        </w:rPr>
      </w:pPr>
      <w:bookmarkStart w:id="35" w:name="_Toc175305020"/>
      <w:r>
        <w:rPr>
          <w:rFonts w:hint="eastAsia" w:hAnsi="Times New Roman" w:cs="宋体"/>
        </w:rPr>
        <w:t>创新及研究</w:t>
      </w:r>
      <w:bookmarkEnd w:id="35"/>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36" w:name="_Toc175305021"/>
      <w:r>
        <w:rPr>
          <w:rFonts w:hint="eastAsia" w:ascii="黑体" w:hAnsi="黑体" w:eastAsia="黑体" w:cs="黑体"/>
          <w:b w:val="0"/>
          <w:bCs w:val="0"/>
          <w:color w:val="000000"/>
          <w:sz w:val="28"/>
          <w:szCs w:val="28"/>
          <w:highlight w:val="none"/>
          <w:lang w:val="en-US" w:eastAsia="zh-CN"/>
        </w:rPr>
        <w:t>9.1 绿色金融创新实践案例</w:t>
      </w:r>
      <w:bookmarkEnd w:id="36"/>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9.1.1 绿色农村农业</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lang w:eastAsia="zh-CN"/>
        </w:rPr>
      </w:pPr>
      <w:r>
        <w:rPr>
          <w:rFonts w:hint="eastAsia" w:ascii="仿宋" w:hAnsi="仿宋" w:eastAsia="仿宋" w:cs="仿宋"/>
          <w:snapToGrid w:val="0"/>
          <w:color w:val="000000"/>
          <w:spacing w:val="6"/>
          <w:kern w:val="0"/>
          <w:sz w:val="24"/>
          <w:szCs w:val="24"/>
          <w:highlight w:val="none"/>
          <w:lang w:val="en-US" w:eastAsia="zh-CN"/>
        </w:rPr>
        <w:t>扬州农商银行</w:t>
      </w:r>
      <w:r>
        <w:rPr>
          <w:rFonts w:hint="eastAsia" w:ascii="仿宋" w:hAnsi="仿宋" w:eastAsia="仿宋" w:cs="仿宋"/>
          <w:snapToGrid w:val="0"/>
          <w:color w:val="000000"/>
          <w:spacing w:val="6"/>
          <w:kern w:val="0"/>
          <w:sz w:val="24"/>
          <w:szCs w:val="24"/>
          <w:highlight w:val="none"/>
          <w:lang w:eastAsia="zh-CN"/>
        </w:rPr>
        <w:t>作为</w:t>
      </w:r>
      <w:r>
        <w:rPr>
          <w:rFonts w:hint="eastAsia" w:ascii="仿宋" w:hAnsi="仿宋" w:eastAsia="仿宋" w:cs="仿宋"/>
          <w:snapToGrid w:val="0"/>
          <w:color w:val="000000"/>
          <w:spacing w:val="6"/>
          <w:kern w:val="0"/>
          <w:sz w:val="24"/>
          <w:szCs w:val="24"/>
          <w:highlight w:val="none"/>
          <w:lang w:val="en-US" w:eastAsia="zh-CN"/>
        </w:rPr>
        <w:t>本区域</w:t>
      </w:r>
      <w:r>
        <w:rPr>
          <w:rFonts w:hint="eastAsia" w:ascii="仿宋" w:hAnsi="仿宋" w:eastAsia="仿宋" w:cs="仿宋"/>
          <w:snapToGrid w:val="0"/>
          <w:color w:val="000000"/>
          <w:spacing w:val="6"/>
          <w:kern w:val="0"/>
          <w:sz w:val="24"/>
          <w:szCs w:val="24"/>
          <w:highlight w:val="none"/>
          <w:lang w:eastAsia="zh-CN"/>
        </w:rPr>
        <w:t>乡村振兴的金融主力军，积极支持国家乡村振兴的绿色发展，在现代农业种业及动植物资源保护、绿色有机农业、农作物种植保护地、保护区建设和运营、森林资源培育产业、林下种植和林下养殖产业等方面加强投入力度。</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lang w:eastAsia="zh-CN"/>
        </w:rPr>
      </w:pP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9.1.2 绿色制造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9" w:beforeLines="20" w:line="240" w:lineRule="auto"/>
        <w:ind w:firstLine="504" w:firstLineChars="200"/>
        <w:textAlignment w:val="baseline"/>
        <w:rPr>
          <w:rFonts w:hint="eastAsia" w:ascii="仿宋" w:hAnsi="仿宋" w:eastAsia="仿宋" w:cs="仿宋"/>
          <w:snapToGrid w:val="0"/>
          <w:color w:val="000000"/>
          <w:spacing w:val="6"/>
          <w:kern w:val="0"/>
          <w:sz w:val="24"/>
          <w:szCs w:val="24"/>
          <w:highlight w:val="none"/>
          <w:lang w:eastAsia="zh-CN"/>
        </w:rPr>
      </w:pPr>
      <w:r>
        <w:rPr>
          <w:rFonts w:hint="eastAsia" w:ascii="仿宋" w:hAnsi="仿宋" w:eastAsia="仿宋" w:cs="仿宋"/>
          <w:snapToGrid w:val="0"/>
          <w:color w:val="000000"/>
          <w:spacing w:val="6"/>
          <w:kern w:val="0"/>
          <w:sz w:val="24"/>
          <w:szCs w:val="24"/>
          <w:highlight w:val="none"/>
          <w:lang w:val="en-US" w:eastAsia="zh-CN"/>
        </w:rPr>
        <w:t>扬州</w:t>
      </w:r>
      <w:r>
        <w:rPr>
          <w:rFonts w:hint="eastAsia" w:ascii="仿宋" w:hAnsi="仿宋" w:eastAsia="仿宋" w:cs="仿宋"/>
          <w:snapToGrid w:val="0"/>
          <w:color w:val="000000"/>
          <w:spacing w:val="6"/>
          <w:kern w:val="0"/>
          <w:sz w:val="24"/>
          <w:szCs w:val="24"/>
          <w:highlight w:val="none"/>
          <w:lang w:eastAsia="zh-CN"/>
        </w:rPr>
        <w:t>经济基本形成了以制造业为主要经济结构及以制造业为核心的经济发展模式，</w:t>
      </w:r>
      <w:r>
        <w:rPr>
          <w:rFonts w:hint="eastAsia" w:ascii="仿宋" w:hAnsi="仿宋" w:eastAsia="仿宋" w:cs="仿宋"/>
          <w:snapToGrid w:val="0"/>
          <w:color w:val="000000"/>
          <w:spacing w:val="6"/>
          <w:kern w:val="0"/>
          <w:sz w:val="24"/>
          <w:szCs w:val="24"/>
          <w:highlight w:val="none"/>
          <w:lang w:val="en-US" w:eastAsia="zh-CN"/>
        </w:rPr>
        <w:t>本</w:t>
      </w:r>
      <w:r>
        <w:rPr>
          <w:rFonts w:hint="eastAsia" w:ascii="仿宋" w:hAnsi="仿宋" w:eastAsia="仿宋" w:cs="仿宋"/>
          <w:snapToGrid w:val="0"/>
          <w:color w:val="000000"/>
          <w:spacing w:val="6"/>
          <w:kern w:val="0"/>
          <w:sz w:val="24"/>
          <w:szCs w:val="24"/>
          <w:highlight w:val="none"/>
          <w:lang w:eastAsia="zh-CN"/>
        </w:rPr>
        <w:t>行在支持制造业企业先进节能环保技术、工艺和装备的改造方面增加投入力度，加快制造业绿色改造升级。如江苏某新能源有限公司是集研发、生产、安装为一体的科技型企业，主要从事温控设备的研发和销售。随着建设绿色低碳循环发展经济体系要求，我国北方明确引导居民使用能效较高的空气源热泵，企业经过市场调查和研究决定向北方广阔的自营供暖项目进军。从2016年起，公司先后获得北京“煤改电”项目的设备供应、河北承德教育机构供暖改造、山东临沂居民供暖改造、青岛临空能源中心热源塔、江西赣北医院综合楼热源塔等项目。本行为支持企业供暖项目的转型发展积极提供资金服务，目前该企业在本行贷款余额</w:t>
      </w:r>
      <w:r>
        <w:rPr>
          <w:rFonts w:hint="eastAsia" w:ascii="仿宋" w:hAnsi="仿宋" w:eastAsia="仿宋" w:cs="仿宋"/>
          <w:snapToGrid w:val="0"/>
          <w:color w:val="000000"/>
          <w:spacing w:val="6"/>
          <w:kern w:val="0"/>
          <w:sz w:val="24"/>
          <w:szCs w:val="24"/>
          <w:highlight w:val="none"/>
          <w:lang w:val="en-US" w:eastAsia="zh-CN"/>
        </w:rPr>
        <w:t>2500</w:t>
      </w:r>
      <w:r>
        <w:rPr>
          <w:rFonts w:hint="eastAsia" w:ascii="仿宋" w:hAnsi="仿宋" w:eastAsia="仿宋" w:cs="仿宋"/>
          <w:snapToGrid w:val="0"/>
          <w:color w:val="000000"/>
          <w:spacing w:val="6"/>
          <w:kern w:val="0"/>
          <w:sz w:val="24"/>
          <w:szCs w:val="24"/>
          <w:highlight w:val="none"/>
          <w:lang w:eastAsia="zh-CN"/>
        </w:rPr>
        <w:t>万元，贷款加权利率4.</w:t>
      </w:r>
      <w:r>
        <w:rPr>
          <w:rFonts w:hint="eastAsia" w:ascii="仿宋" w:hAnsi="仿宋" w:eastAsia="仿宋" w:cs="仿宋"/>
          <w:snapToGrid w:val="0"/>
          <w:color w:val="000000"/>
          <w:spacing w:val="6"/>
          <w:kern w:val="0"/>
          <w:sz w:val="24"/>
          <w:szCs w:val="24"/>
          <w:highlight w:val="none"/>
          <w:lang w:val="en-US" w:eastAsia="zh-CN"/>
        </w:rPr>
        <w:t>26</w:t>
      </w:r>
      <w:r>
        <w:rPr>
          <w:rFonts w:hint="eastAsia" w:ascii="仿宋" w:hAnsi="仿宋" w:eastAsia="仿宋" w:cs="仿宋"/>
          <w:snapToGrid w:val="0"/>
          <w:color w:val="000000"/>
          <w:spacing w:val="6"/>
          <w:kern w:val="0"/>
          <w:sz w:val="24"/>
          <w:szCs w:val="24"/>
          <w:highlight w:val="none"/>
          <w:lang w:eastAsia="zh-CN"/>
        </w:rPr>
        <w:t>%，有效帮助企业解决了绿色转型中的资金难题。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9" w:beforeLines="20" w:line="240" w:lineRule="auto"/>
        <w:ind w:firstLine="504" w:firstLineChars="200"/>
        <w:textAlignment w:val="baseline"/>
        <w:rPr>
          <w:rFonts w:hint="eastAsia" w:ascii="仿宋" w:hAnsi="仿宋" w:eastAsia="仿宋" w:cs="仿宋"/>
          <w:snapToGrid w:val="0"/>
          <w:color w:val="000000"/>
          <w:spacing w:val="6"/>
          <w:kern w:val="0"/>
          <w:sz w:val="24"/>
          <w:szCs w:val="24"/>
          <w:highlight w:val="none"/>
          <w:lang w:eastAsia="zh-CN"/>
        </w:rPr>
      </w:pP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9.1.3 绿色水资源治理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9" w:beforeLines="20" w:line="240" w:lineRule="auto"/>
        <w:ind w:firstLine="504" w:firstLineChars="200"/>
        <w:textAlignment w:val="baseline"/>
        <w:rPr>
          <w:rFonts w:hint="eastAsia" w:ascii="仿宋" w:hAnsi="仿宋" w:eastAsia="仿宋" w:cs="仿宋"/>
          <w:snapToGrid w:val="0"/>
          <w:color w:val="000000"/>
          <w:spacing w:val="6"/>
          <w:kern w:val="0"/>
          <w:sz w:val="24"/>
          <w:szCs w:val="24"/>
          <w:highlight w:val="none"/>
          <w:lang w:eastAsia="zh-CN"/>
        </w:rPr>
      </w:pPr>
      <w:r>
        <w:rPr>
          <w:rFonts w:hint="eastAsia" w:ascii="仿宋" w:hAnsi="仿宋" w:eastAsia="仿宋" w:cs="仿宋"/>
          <w:snapToGrid w:val="0"/>
          <w:color w:val="000000"/>
          <w:spacing w:val="6"/>
          <w:kern w:val="0"/>
          <w:sz w:val="24"/>
          <w:szCs w:val="24"/>
          <w:highlight w:val="none"/>
          <w:lang w:eastAsia="zh-CN"/>
        </w:rPr>
        <w:t>扬州是一座运河和长江交汇的城市，依水而建、缘水而兴、因水而美，绿色水资源的治理对保护大运河和南水北调东线工程具有重要意义，作为本土金融机构，扬州绿色水资源治理也是本行重点支持项目，在打造更高标准的工程水利、更加高效的农村水利、更加美丽的生态水利、更加节约的资源水利贡献</w:t>
      </w:r>
      <w:r>
        <w:rPr>
          <w:rFonts w:hint="eastAsia" w:ascii="仿宋" w:hAnsi="仿宋" w:eastAsia="仿宋" w:cs="仿宋"/>
          <w:snapToGrid w:val="0"/>
          <w:color w:val="000000"/>
          <w:spacing w:val="6"/>
          <w:kern w:val="0"/>
          <w:sz w:val="24"/>
          <w:szCs w:val="24"/>
          <w:highlight w:val="none"/>
          <w:lang w:val="en-US" w:eastAsia="zh-CN"/>
        </w:rPr>
        <w:t>本</w:t>
      </w:r>
      <w:r>
        <w:rPr>
          <w:rFonts w:hint="eastAsia" w:ascii="仿宋" w:hAnsi="仿宋" w:eastAsia="仿宋" w:cs="仿宋"/>
          <w:snapToGrid w:val="0"/>
          <w:color w:val="000000"/>
          <w:spacing w:val="6"/>
          <w:kern w:val="0"/>
          <w:sz w:val="24"/>
          <w:szCs w:val="24"/>
          <w:highlight w:val="none"/>
          <w:lang w:eastAsia="zh-CN"/>
        </w:rPr>
        <w:t>行微薄之力。</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9" w:beforeLines="20" w:line="240" w:lineRule="auto"/>
        <w:ind w:firstLine="504" w:firstLineChars="200"/>
        <w:textAlignment w:val="baseline"/>
        <w:rPr>
          <w:rFonts w:hint="eastAsia" w:ascii="仿宋" w:hAnsi="仿宋" w:eastAsia="仿宋" w:cs="仿宋"/>
          <w:snapToGrid w:val="0"/>
          <w:color w:val="000000"/>
          <w:spacing w:val="6"/>
          <w:kern w:val="0"/>
          <w:sz w:val="24"/>
          <w:szCs w:val="24"/>
          <w:highlight w:val="none"/>
          <w:lang w:eastAsia="zh-CN"/>
        </w:rPr>
      </w:pP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9.1.4 绿色生态城市建设</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9" w:beforeLines="20" w:line="240" w:lineRule="auto"/>
        <w:ind w:firstLine="504" w:firstLineChars="200"/>
        <w:textAlignment w:val="baseline"/>
        <w:rPr>
          <w:rFonts w:hint="eastAsia" w:ascii="仿宋" w:hAnsi="仿宋" w:eastAsia="仿宋" w:cs="仿宋"/>
          <w:snapToGrid w:val="0"/>
          <w:color w:val="000000"/>
          <w:spacing w:val="6"/>
          <w:kern w:val="0"/>
          <w:sz w:val="24"/>
          <w:szCs w:val="24"/>
          <w:highlight w:val="none"/>
          <w:lang w:eastAsia="zh-CN"/>
        </w:rPr>
      </w:pPr>
      <w:r>
        <w:rPr>
          <w:rFonts w:hint="eastAsia" w:ascii="仿宋" w:hAnsi="仿宋" w:eastAsia="仿宋" w:cs="仿宋"/>
          <w:snapToGrid w:val="0"/>
          <w:color w:val="000000"/>
          <w:spacing w:val="6"/>
          <w:kern w:val="0"/>
          <w:sz w:val="24"/>
          <w:szCs w:val="24"/>
          <w:highlight w:val="none"/>
          <w:lang w:eastAsia="zh-CN"/>
        </w:rPr>
        <w:t>扬州作为最佳人居城市，建设健康绿色的生态城市势在必行，</w:t>
      </w:r>
      <w:r>
        <w:rPr>
          <w:rFonts w:hint="eastAsia" w:ascii="仿宋" w:hAnsi="仿宋" w:eastAsia="仿宋" w:cs="仿宋"/>
          <w:snapToGrid w:val="0"/>
          <w:color w:val="000000"/>
          <w:spacing w:val="6"/>
          <w:kern w:val="0"/>
          <w:sz w:val="24"/>
          <w:szCs w:val="24"/>
          <w:highlight w:val="none"/>
          <w:lang w:val="en-US" w:eastAsia="zh-CN"/>
        </w:rPr>
        <w:t>本</w:t>
      </w:r>
      <w:r>
        <w:rPr>
          <w:rFonts w:hint="eastAsia" w:ascii="仿宋" w:hAnsi="仿宋" w:eastAsia="仿宋" w:cs="仿宋"/>
          <w:snapToGrid w:val="0"/>
          <w:color w:val="000000"/>
          <w:spacing w:val="6"/>
          <w:kern w:val="0"/>
          <w:sz w:val="24"/>
          <w:szCs w:val="24"/>
          <w:highlight w:val="none"/>
          <w:lang w:eastAsia="zh-CN"/>
        </w:rPr>
        <w:t>行大力支持本市绿色生态城市建设，特别是光伏发电行业。如扬州某新能源有限公司，主要经营发电、输电、供电业务，通过租用工厂闲置屋顶进行太阳能光伏发电设备建设，随着国家对新能源发电的大力支持及用电量不断攀升，公司业务不断壮大，目前在手</w:t>
      </w:r>
      <w:r>
        <w:rPr>
          <w:rFonts w:hint="eastAsia" w:ascii="仿宋" w:hAnsi="仿宋" w:eastAsia="仿宋" w:cs="仿宋"/>
          <w:snapToGrid w:val="0"/>
          <w:color w:val="000000"/>
          <w:spacing w:val="6"/>
          <w:kern w:val="0"/>
          <w:sz w:val="24"/>
          <w:szCs w:val="24"/>
          <w:highlight w:val="none"/>
          <w:lang w:val="en-US" w:eastAsia="zh-CN"/>
        </w:rPr>
        <w:t>3个</w:t>
      </w:r>
      <w:r>
        <w:rPr>
          <w:rFonts w:hint="eastAsia" w:ascii="仿宋" w:hAnsi="仿宋" w:eastAsia="仿宋" w:cs="仿宋"/>
          <w:snapToGrid w:val="0"/>
          <w:color w:val="000000"/>
          <w:spacing w:val="6"/>
          <w:kern w:val="0"/>
          <w:sz w:val="24"/>
          <w:szCs w:val="24"/>
          <w:highlight w:val="none"/>
          <w:lang w:eastAsia="zh-CN"/>
        </w:rPr>
        <w:t>发电项目，本行为企业支持绿色生态城市建设提供资金服务，目前该企业在本行贷款余额</w:t>
      </w:r>
      <w:r>
        <w:rPr>
          <w:rFonts w:hint="eastAsia" w:ascii="仿宋" w:hAnsi="仿宋" w:eastAsia="仿宋" w:cs="仿宋"/>
          <w:snapToGrid w:val="0"/>
          <w:color w:val="000000"/>
          <w:spacing w:val="6"/>
          <w:kern w:val="0"/>
          <w:sz w:val="24"/>
          <w:szCs w:val="24"/>
          <w:highlight w:val="none"/>
          <w:lang w:val="en-US" w:eastAsia="zh-CN"/>
        </w:rPr>
        <w:t>670</w:t>
      </w:r>
      <w:r>
        <w:rPr>
          <w:rFonts w:hint="eastAsia" w:ascii="仿宋" w:hAnsi="仿宋" w:eastAsia="仿宋" w:cs="仿宋"/>
          <w:snapToGrid w:val="0"/>
          <w:color w:val="000000"/>
          <w:spacing w:val="6"/>
          <w:kern w:val="0"/>
          <w:sz w:val="24"/>
          <w:szCs w:val="24"/>
          <w:highlight w:val="none"/>
          <w:lang w:eastAsia="zh-CN"/>
        </w:rPr>
        <w:t>万元，贷款加权利率</w:t>
      </w:r>
      <w:r>
        <w:rPr>
          <w:rFonts w:hint="eastAsia" w:ascii="仿宋" w:hAnsi="仿宋" w:eastAsia="仿宋" w:cs="仿宋"/>
          <w:snapToGrid w:val="0"/>
          <w:color w:val="000000"/>
          <w:spacing w:val="6"/>
          <w:kern w:val="0"/>
          <w:sz w:val="24"/>
          <w:szCs w:val="24"/>
          <w:highlight w:val="none"/>
          <w:lang w:val="en-US" w:eastAsia="zh-CN"/>
        </w:rPr>
        <w:t>3.91</w:t>
      </w:r>
      <w:r>
        <w:rPr>
          <w:rFonts w:hint="eastAsia" w:ascii="仿宋" w:hAnsi="仿宋" w:eastAsia="仿宋" w:cs="仿宋"/>
          <w:snapToGrid w:val="0"/>
          <w:color w:val="000000"/>
          <w:spacing w:val="6"/>
          <w:kern w:val="0"/>
          <w:sz w:val="24"/>
          <w:szCs w:val="24"/>
          <w:highlight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eastAsia" w:ascii="黑体" w:hAnsi="黑体" w:eastAsia="黑体" w:cs="黑体"/>
          <w:b w:val="0"/>
          <w:bCs w:val="0"/>
          <w:color w:val="000000"/>
          <w:sz w:val="28"/>
          <w:szCs w:val="28"/>
          <w:highlight w:val="none"/>
          <w:lang w:val="en-US" w:eastAsia="zh-CN"/>
        </w:rPr>
      </w:pPr>
      <w:bookmarkStart w:id="37" w:name="_Toc175305022"/>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eastAsia" w:ascii="黑体" w:hAnsi="黑体" w:eastAsia="黑体" w:cs="黑体"/>
          <w:b w:val="0"/>
          <w:bCs w:val="0"/>
          <w:color w:val="000000"/>
          <w:sz w:val="28"/>
          <w:szCs w:val="28"/>
          <w:highlight w:val="none"/>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r>
        <w:rPr>
          <w:rFonts w:hint="eastAsia" w:ascii="黑体" w:hAnsi="黑体" w:eastAsia="黑体" w:cs="黑体"/>
          <w:b w:val="0"/>
          <w:bCs w:val="0"/>
          <w:color w:val="000000"/>
          <w:sz w:val="28"/>
          <w:szCs w:val="28"/>
          <w:highlight w:val="none"/>
          <w:lang w:val="en-US" w:eastAsia="zh-CN"/>
        </w:rPr>
        <w:t>9.2 绿色金融研究</w:t>
      </w:r>
      <w:bookmarkEnd w:id="37"/>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9.2.1 绿色金融研究</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lang w:val="en-US" w:eastAsia="zh-CN"/>
        </w:rPr>
        <w:t>本行</w:t>
      </w:r>
      <w:r>
        <w:rPr>
          <w:rFonts w:hint="eastAsia" w:ascii="仿宋" w:hAnsi="仿宋" w:eastAsia="仿宋" w:cs="仿宋"/>
          <w:snapToGrid w:val="0"/>
          <w:color w:val="000000"/>
          <w:spacing w:val="6"/>
          <w:kern w:val="0"/>
          <w:sz w:val="24"/>
          <w:szCs w:val="24"/>
          <w:highlight w:val="none"/>
        </w:rPr>
        <w:t>普惠金融部下设绿色金融中心，负责建立有利于绿色信贷创新的工作机制，在有效控制风险和商业可持续的前提下，推动绿色信贷流程、产品和服务创新。</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1）绿色金融政策与趋势研究：本行积极学习《关于构建绿色金融体系的指导意见》、《金融业标准化体系建设发展规划（2016—2020年）》、《绿色信贷指引》 、《绿色信贷实施情况关键评价指标》、《关于建立绿色贷款专项统计制度的通知》、《绿色债券评估认证行为指引（暂行）》、《金融机构环境信息披露指南》、《金融机构碳核算技术指南（试行）》和《江苏省银行业金融机构环境信息披露指引》等绿色金融政策文件，对国内外绿色金融政策标准进行深入分析，把握绿色金融发展的最新趋势，明确了本行绿色金融的发展目标和重点任务，为全行绿色金融业务的推进提供了最新的战略指引。</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2）绿色金融产品与服务创新研究：探索绿色信贷、绿色债券等绿色金融产品的创新路径，针对“三农”、小微企业的绿色融资需求，推出了一系列标准化贷款融资模式和低碳金融产品，加大支持节能环保和绿色经济发展。</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3）环境风险管理研究：研究环境风险识别、评估和管理的方法论，建立健全环境风险管理体系，确保投融资活动符合可持续发展要求。本行尝试开展环境风险量化分析，将投融资主体受环境政策影响、自身环评和环境表现等因素纳入企业授信评估考量指标，评估环境物理风险和转型风险对信贷资产质量的影响程度，提升风险管理水平。</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4）绿色低碳运营研究：本行积极探索绿色低碳运营转型路径，研究如何通过绿色办公、绿色采购、绿电绿证、绿色数据中心建设等措施降低自身运营过程中的环境影响，提升绿色运营水平。公司积极倡导绿色办公理念，通过金融科技推动运营管理集约化、日常工作数字化和业务办理智能化，进一步提升运营效率和节能减排效果。</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5）外部研究合作：本行积极参与环境、绿色金融领域的外部研究合作与沟通交流，推动本行绿色金融业务的深入发展。此外，公司还通过参加各类绿色金融论坛、研讨会等行业活动，交流绿色金融研究成果和实践经验，同时提升自身行业影响力。</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9.2.2 绿色金融奖项</w:t>
      </w:r>
    </w:p>
    <w:p>
      <w:pPr>
        <w:widowControl/>
        <w:kinsoku w:val="0"/>
        <w:autoSpaceDE w:val="0"/>
        <w:autoSpaceDN w:val="0"/>
        <w:adjustRightInd w:val="0"/>
        <w:snapToGrid w:val="0"/>
        <w:spacing w:before="156" w:beforeLines="50" w:line="240" w:lineRule="auto"/>
        <w:ind w:firstLine="506"/>
        <w:textAlignment w:val="baseline"/>
        <w:rPr>
          <w:color w:val="000000" w:themeColor="text1"/>
          <w14:textFill>
            <w14:solidFill>
              <w14:schemeClr w14:val="tx1"/>
            </w14:solidFill>
          </w14:textFill>
        </w:rPr>
      </w:pPr>
      <w:r>
        <w:rPr>
          <w:rFonts w:hint="eastAsia" w:ascii="仿宋" w:hAnsi="仿宋" w:eastAsia="仿宋" w:cs="仿宋"/>
          <w:snapToGrid w:val="0"/>
          <w:color w:val="000000" w:themeColor="text1"/>
          <w:spacing w:val="6"/>
          <w:kern w:val="0"/>
          <w:sz w:val="24"/>
          <w:szCs w:val="24"/>
          <w:lang w:val="en-US" w:eastAsia="zh-CN"/>
          <w14:textFill>
            <w14:solidFill>
              <w14:schemeClr w14:val="tx1"/>
            </w14:solidFill>
          </w14:textFill>
        </w:rPr>
        <w:t>报告期内本行暂无绿色金融奖项信息披露</w:t>
      </w:r>
      <w:r>
        <w:rPr>
          <w:rFonts w:hint="eastAsia" w:ascii="仿宋" w:hAnsi="仿宋" w:eastAsia="仿宋" w:cs="仿宋"/>
          <w:snapToGrid w:val="0"/>
          <w:color w:val="0000FF"/>
          <w:spacing w:val="6"/>
          <w:kern w:val="0"/>
          <w:sz w:val="24"/>
          <w:szCs w:val="24"/>
        </w:rPr>
        <w:t>。</w:t>
      </w:r>
      <w:r>
        <w:rPr>
          <w:rFonts w:hint="eastAsia"/>
          <w:color w:val="000000" w:themeColor="text1"/>
          <w14:textFill>
            <w14:solidFill>
              <w14:schemeClr w14:val="tx1"/>
            </w14:solidFill>
          </w14:textFill>
        </w:rPr>
        <w:br w:type="page"/>
      </w:r>
    </w:p>
    <w:p>
      <w:pPr>
        <w:pStyle w:val="2"/>
        <w:tabs>
          <w:tab w:val="clear" w:pos="420"/>
        </w:tabs>
        <w:ind w:left="0" w:leftChars="0" w:firstLine="0" w:firstLineChars="0"/>
        <w:rPr>
          <w:rFonts w:ascii="微软雅黑" w:hAnsi="微软雅黑" w:eastAsia="微软雅黑" w:cs="微软雅黑"/>
          <w:b/>
          <w:bCs/>
          <w:color w:val="000000" w:themeColor="text1"/>
          <w:sz w:val="28"/>
          <w:szCs w:val="28"/>
          <w14:textFill>
            <w14:solidFill>
              <w14:schemeClr w14:val="tx1"/>
            </w14:solidFill>
          </w14:textFill>
        </w:rPr>
      </w:pPr>
      <w:bookmarkStart w:id="38" w:name="_Toc175305023"/>
      <w:r>
        <w:rPr>
          <w:rFonts w:hint="eastAsia" w:hAnsi="Times New Roman" w:cs="宋体"/>
        </w:rPr>
        <w:t>数据质量管理</w:t>
      </w:r>
      <w:bookmarkEnd w:id="38"/>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39" w:name="_Toc175305024"/>
      <w:r>
        <w:rPr>
          <w:rFonts w:hint="eastAsia" w:ascii="黑体" w:hAnsi="黑体" w:eastAsia="黑体" w:cs="黑体"/>
          <w:b w:val="0"/>
          <w:bCs w:val="0"/>
          <w:color w:val="000000"/>
          <w:sz w:val="28"/>
          <w:szCs w:val="28"/>
          <w:highlight w:val="none"/>
          <w:lang w:val="en-US" w:eastAsia="zh-CN"/>
        </w:rPr>
        <w:t>10.1 数据梳理、校验及保护</w:t>
      </w:r>
      <w:bookmarkEnd w:id="39"/>
    </w:p>
    <w:p>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本行在金融碳核算和环境信息披露工作中制定了完善的数据收集、校验、管理流程，并有效保障了相关数据安全和数据主体权益。具体如下：</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10.1.1 数据收集</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1）制度保障：依据中国人民银行《绿色贷款专项统计制度》和《绿色债券支持项目目录（2021年版）》制定了本行绿色统计制度，详细规范绿色信贷和绿色债券的认定流程、标识指标及数据统计的具体方法，确保绿色资产数据收集的规范性和一致性。</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2）组织保障：为保障金融碳核算和环境信息披露工作顺利开展，本行董事会办公室牵头成立了由多业务部门和子公司组成的专项工作组，专门负责本行金融碳核算（自身经营碳排放、投融资碳排放、绿色资产碳减排）和环境信息披露工作。</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3）能力建设：为解决本行在金融碳核算和环境信息披露方面专业经验不足和专家团队薄弱难题，</w:t>
      </w:r>
      <w:r>
        <w:rPr>
          <w:rFonts w:hint="eastAsia" w:ascii="仿宋" w:hAnsi="仿宋" w:eastAsia="仿宋" w:cs="仿宋"/>
          <w:snapToGrid w:val="0"/>
          <w:color w:val="000000"/>
          <w:spacing w:val="6"/>
          <w:kern w:val="0"/>
          <w:sz w:val="24"/>
          <w:szCs w:val="24"/>
          <w:highlight w:val="none"/>
          <w:lang w:eastAsia="zh-CN"/>
        </w:rPr>
        <w:t>本行</w:t>
      </w:r>
      <w:r>
        <w:rPr>
          <w:rFonts w:hint="eastAsia" w:ascii="仿宋" w:hAnsi="仿宋" w:eastAsia="仿宋" w:cs="仿宋"/>
          <w:snapToGrid w:val="0"/>
          <w:color w:val="000000"/>
          <w:spacing w:val="6"/>
          <w:kern w:val="0"/>
          <w:sz w:val="24"/>
          <w:szCs w:val="24"/>
          <w:highlight w:val="none"/>
        </w:rPr>
        <w:t>聘请了专业第三方咨询机构，辅导本行工作组设计了完整的可行性方案、工作计划、工作流程、操作手册、数据收集表和报告模板等文件，并采购和部署了本行金融碳核算系统数字化工具。</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 xml:space="preserve">基于以上制度、组织、能力保障，通过本行内部统计系统和外部客户数据收集，实现了环境信息披露所需数据的全面、准确和及时统计。  </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10.1.2 数据校验</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本行建立了严格的数据校验流程，通过交叉核对、内部评审及外部审验多种方式对数据进行多维度校验，确保数据可追溯、可验证、可核查。</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首先，所有原始数据收集和填报交叉核对机制，支行核对专员对客户经理收集和填报的《客户清单》、投融资碳排放、绿色资产碳减排初始数据逐个核对，总行核对专员对支行收集和填报的自身经营碳排放、投融资清单、碳减排清单，通过金融碳核算系统数据核验工具对数据进行自动化校验；</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其次，本行专家依据评审规则和统计数据，对金融碳核算系统最终计算结果和各类碳报表进行内部评审；</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最后，第三方机构依据《金融机构碳核算技术指南（试行）》和《江苏省银行业金融机构环境信息披露指引》，参考行业内金融碳核算最佳实践经验做外部审验，对关键数据进行严格比对识别并纠正潜在偏差。</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10.1.3 数据安全</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安全体系：本行建立了完善的信息安全管理体系，从体系上确保金融碳核算和环境信息披露数据在收集、处理、存储及传输过程中的安全性。</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访问控制：实施严格的数据访问控制策略，仅授权相关人员访问相关数据，防止环境信息披露数据泄露。</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加密技术：对敏感数据采用加密技术处理，确保环境信息披露数据在存储和传输过程中的保密性。</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备份恢复：建立数据备份与恢复机制，定期对环境数据进行备份，防止数据丢失或损坏，确保数据的完整性和可用性。</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10.1.4 数据主体权益</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1）同意授权方面：在收集企业经营数据和环境信息时，确保获得数据主体的书面同意和数据授权。</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2）最小化方面：遵循收集数据最小化原则避免过度收集，仅收集编制环境信息披露报告的必需数据。</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3）知情权方面：明确告知数据主体其数据将被如何使用和安全保护措施，保障数据主体充分知情。</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9" w:beforeLines="50" w:line="240" w:lineRule="auto"/>
        <w:ind w:leftChars="0"/>
        <w:textAlignment w:val="baseline"/>
        <w:outlineLvl w:val="1"/>
        <w:rPr>
          <w:rFonts w:hint="default" w:ascii="黑体" w:hAnsi="黑体" w:eastAsia="黑体" w:cs="黑体"/>
          <w:b w:val="0"/>
          <w:bCs w:val="0"/>
          <w:color w:val="000000"/>
          <w:sz w:val="28"/>
          <w:szCs w:val="28"/>
          <w:highlight w:val="none"/>
          <w:lang w:val="en-US" w:eastAsia="zh-CN"/>
        </w:rPr>
      </w:pPr>
      <w:bookmarkStart w:id="40" w:name="_Toc156994200"/>
      <w:bookmarkStart w:id="41" w:name="_Toc175305025"/>
      <w:r>
        <w:rPr>
          <w:rFonts w:hint="eastAsia" w:ascii="黑体" w:hAnsi="黑体" w:eastAsia="黑体" w:cs="黑体"/>
          <w:b w:val="0"/>
          <w:bCs w:val="0"/>
          <w:color w:val="000000"/>
          <w:sz w:val="28"/>
          <w:szCs w:val="28"/>
          <w:highlight w:val="none"/>
          <w:lang w:val="en-US" w:eastAsia="zh-CN"/>
        </w:rPr>
        <w:t>10.2 碳排放</w:t>
      </w:r>
      <w:bookmarkEnd w:id="40"/>
      <w:r>
        <w:rPr>
          <w:rFonts w:hint="eastAsia" w:ascii="黑体" w:hAnsi="黑体" w:eastAsia="黑体" w:cs="黑体"/>
          <w:b w:val="0"/>
          <w:bCs w:val="0"/>
          <w:color w:val="000000"/>
          <w:sz w:val="28"/>
          <w:szCs w:val="28"/>
          <w:highlight w:val="none"/>
          <w:lang w:val="en-US" w:eastAsia="zh-CN"/>
        </w:rPr>
        <w:t>数据质量管理</w:t>
      </w:r>
      <w:bookmarkEnd w:id="41"/>
    </w:p>
    <w:p>
      <w:pPr>
        <w:widowControl/>
        <w:kinsoku w:val="0"/>
        <w:autoSpaceDE w:val="0"/>
        <w:autoSpaceDN w:val="0"/>
        <w:adjustRightInd w:val="0"/>
        <w:snapToGrid w:val="0"/>
        <w:spacing w:before="156" w:beforeLines="50" w:line="240" w:lineRule="auto"/>
        <w:ind w:firstLine="504"/>
        <w:textAlignment w:val="baseline"/>
        <w:rPr>
          <w:rFonts w:ascii="仿宋" w:hAnsi="仿宋" w:eastAsia="仿宋" w:cs="仿宋"/>
          <w:snapToGrid w:val="0"/>
          <w:color w:val="000000" w:themeColor="text1"/>
          <w:spacing w:val="6"/>
          <w:kern w:val="0"/>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本行在金融碳核算和环境信息披露工作中采用的核算原则、统计口径、测算方法均符合《江苏省银行业金融机构环境信息披露指引（试行）》（以下简称《指引》）政策标准，并采取了一系列数据质量保障措施，具体如下：</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10.2.1 遵循原则</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1）真实性原则。本行已客观、准确、完整地向监管部门和利益相关各方披露环境相关信息，引用的数据、资料均注明来源，并对要求披露但无法准确披露的信息已作出解释说明。</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2）及时性原则。本行首次碳排放核算与信息披露工作已于2024年0</w:t>
      </w:r>
      <w:r>
        <w:rPr>
          <w:rFonts w:hint="eastAsia" w:ascii="仿宋" w:hAnsi="仿宋" w:eastAsia="仿宋" w:cs="仿宋"/>
          <w:snapToGrid w:val="0"/>
          <w:color w:val="000000"/>
          <w:spacing w:val="6"/>
          <w:kern w:val="0"/>
          <w:sz w:val="24"/>
          <w:szCs w:val="24"/>
          <w:highlight w:val="none"/>
          <w:lang w:val="en-US" w:eastAsia="zh-CN"/>
        </w:rPr>
        <w:t>9</w:t>
      </w:r>
      <w:r>
        <w:rPr>
          <w:rFonts w:hint="eastAsia" w:ascii="仿宋" w:hAnsi="仿宋" w:eastAsia="仿宋" w:cs="仿宋"/>
          <w:snapToGrid w:val="0"/>
          <w:color w:val="000000"/>
          <w:spacing w:val="6"/>
          <w:kern w:val="0"/>
          <w:sz w:val="24"/>
          <w:szCs w:val="24"/>
          <w:highlight w:val="none"/>
        </w:rPr>
        <w:t>月完成，环境信息披露报告定量数据和定性内容信息完整，截至报告期本行和本行的关联机构未发生对社会公众利益有重大影响的环境事件。</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3）一致性原则。本行为首次进行环境信息披露工作，碳排放核算与信息披露的测算口径和方法严格与《指引》保持一致。</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4）连贯性原则。本行从首个环境信息披露报告年度开始，将在环境信息披露的统计核算标准、边界、方法和内容方面始终保持连贯性，如因某些原因发生改变的情况，将在报告中详细说明。</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5）依法性原则。本行承诺环境信息披露内容合法合规，披露渠道符合政策标准，无虚假记载、误导性陈述或重大遗漏。</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10.2.2 统计口径</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1）自身经营的碳排放信息：范围1经营活动直接碳排放，包括本行自有交通运输工具和采暖（制冷）设备直接能源消耗产生的碳排放等；范围2经营活动间接碳排放，包括本行营业、办公所外购的电力和热力服务间接能源消耗产生的碳排放等；范围3经营活动价值链碳排放，包括购买商品与服务、上游运输和配送、运营中产生的废物，差旅、员工通勤等机构经营活动价值链上游产生的碳排放。</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2）投融资活动的碳排放信息：项目融资将正式运营超过30天的融资项目全部纳入碳排放统计核算披露范围。非项目融资纳入报告期期末贷款余额大于零的制造业企业和报告期期末贷款余额在500万元及以上的非制造业企业。</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3）绿色资产的碳减排信息：纳入绿色信贷（项目业务）的碳减排信息和报告期期末持有的绿色债券的碳减排信息这两类。绿色信贷（非项目业务）鉴于目前缺乏有效的企业碳减排核算方法，本次不单独核算披露绿色信贷（非项目业务）的碳减排信息。</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10.2.3 测算方法</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本行部署了经国际权威机构认证的金融碳核算系统，本次金融碳核算工作流程严格按照中国人民银行发布的《金融机构碳核算技术指南（试行）》和温室气体排放核算相关国家标准及指南确定核算边界与方法，识别排放源，收集活动水平数据，选择或测算排放因子，计算与汇总自身经营碳排放量、投融资碳排放量或碳减排量。</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1）自身经营的碳排放测算方法：本行自身经营范围1直接碳排放和范围2间接碳排放，测算方法采用《公共建筑运营单位（企业）温室气体排放核算方法和报告指南（试行）》，活动水平通过实际监测获得实景数据，关键的电力排放因子采用生态环境部、国家统计局最新公布的电力二氧化碳排放因子。本行自身经营范围3价值链碳排放测算方法采用国际通行的温室气体核算体系（GHG Protocol）《企业价值链（范围3）核算与报告标准》，活动水平包括购买商品与服务、上游运输和配送、运营中产生的废物，差旅、员工通勤数据通过实际监测和合理估算获取，价值链排放因子采用《中国产品全生命周期温室气体排放系数集（2022）》。本行总行、分行、支行均单独核算自身经营碳排放，生成独立《碳排放报告》，并且报告生成后活动水平数据被锁定不可篡改，确保数据可追溯、可验证、可核查。</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2）投融资活动的碳排放测算方法：本行投融资碳排放测算按项目融资、非项目融资和债券投资分别计算每一个融资主体报告期碳排放（范围1+2），再通过归因因子折算本行投融资对应份额，然后分别汇总。投融资主体如已有《碳核查报告》《碳排放报告》或项目可研报告、环评报告、节能报告碳排放数据的，直接采用该碳排放数据计算；如无直接碳排放数据来源，则测算方法采用国家市场监督管理总局12个行业温室气体排放核算国家标准和国家发改委24个行业温室气体排放核算方法与报告指南，范围1+2活动水平通过企业客户实际监测获得实景数据，化石燃料排放因子采用生态环境部最新公布的常用化石燃料相关参数缺省值和工业过程排放因子缺省值，电力排放因子采用生态环境部、国家统计局最新公布的电力二氧化碳排放因子。每家投融资企业和项目均单独核算碳排放，生成独立《碳排放报告》，并且报告生成后活动水平锁定不可篡改，确保数据可追溯、可验证、可核查。</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3）绿色资产的碳减排测算方法：先收集每一个绿色项目和绿色债券报告期碳减排数据，再通过归因因子折算本行绿色资产对应份额，然后分别汇总。绿色项目和绿色债券类型属于相关主管部门及各级政府确定的重点用能单位、重点排放单位及纳入碳排放交易的单位的，本行收集《项目碳减排报告》或可研报告、环评报告、节能报告中数据，并按照评估报告的结果汇总计算其碳减排数据。对于其他类型，本行要求融资主体提供符合相关标准、技术指南及方法学等要求的碳减排评估数据。</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4）归因因子测算方法：项目业务归因因子，本行根据对项目的投资额（报告期）与项目总投资（报告期）的比例分摊折算项目融资业务对应的碳排放量和碳减排量。非项目业务和债券投资归因因子，依据对融资主体的融资额（报告期）与融资主体主营业务收入（报告期）的比例分摊折算对应的碳排放量和碳减排量。</w:t>
      </w:r>
    </w:p>
    <w:p>
      <w:pPr>
        <w:keepNext w:val="0"/>
        <w:keepLines w:val="0"/>
        <w:pageBreakBefore w:val="0"/>
        <w:widowControl/>
        <w:kinsoku w:val="0"/>
        <w:wordWrap/>
        <w:overflowPunct/>
        <w:topLinePunct w:val="0"/>
        <w:autoSpaceDE w:val="0"/>
        <w:autoSpaceDN w:val="0"/>
        <w:bidi w:val="0"/>
        <w:adjustRightInd w:val="0"/>
        <w:snapToGrid w:val="0"/>
        <w:spacing w:before="219" w:beforeLines="50" w:line="240" w:lineRule="auto"/>
        <w:ind w:firstLine="504"/>
        <w:textAlignment w:val="baseline"/>
        <w:rPr>
          <w:rFonts w:hint="eastAsia" w:ascii="黑体" w:hAnsi="黑体" w:eastAsia="黑体" w:cs="黑体"/>
          <w:snapToGrid w:val="0"/>
          <w:color w:val="000000"/>
          <w:spacing w:val="6"/>
          <w:kern w:val="0"/>
          <w:sz w:val="24"/>
          <w:szCs w:val="24"/>
          <w:highlight w:val="none"/>
          <w:lang w:val="en-US" w:eastAsia="zh-CN"/>
        </w:rPr>
      </w:pPr>
      <w:r>
        <w:rPr>
          <w:rFonts w:hint="eastAsia" w:ascii="黑体" w:hAnsi="黑体" w:eastAsia="黑体" w:cs="黑体"/>
          <w:snapToGrid w:val="0"/>
          <w:color w:val="000000"/>
          <w:spacing w:val="6"/>
          <w:kern w:val="0"/>
          <w:sz w:val="24"/>
          <w:szCs w:val="24"/>
          <w:highlight w:val="none"/>
          <w:lang w:val="en-US" w:eastAsia="zh-CN"/>
        </w:rPr>
        <w:t>10.2.4 数据质量保障措施</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1）环境相关数据质量的梳理和校验：定期进行数据质量评估，包括完整性、准确性、一致性和时效性；使用自动化工具进行数据清洗和校验，减少人工错误；建立数据质量标准，并确保所有收集和处理的数据都符合标准。</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2）提升基础数据质量：对数据来源进行严格的审核，确保数据的可靠性和准确性；开展数据质量培训，增强员工的数据意识和处理能力；实施数据治理策略，确保数据的规范管理和使用。</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3）保证数据披露的及时性、准确性：建立数据更新和披露的定时机制，确保信息的时效性；在披露前对数据进行严格的审核和校验，确保准确性；使用先进的技术手段，如实时数据处理和可视化工具，提高信息披露的效率和质量。</w:t>
      </w:r>
    </w:p>
    <w:p>
      <w:pPr>
        <w:keepNext w:val="0"/>
        <w:keepLines w:val="0"/>
        <w:pageBreakBefore w:val="0"/>
        <w:widowControl/>
        <w:kinsoku w:val="0"/>
        <w:wordWrap/>
        <w:overflowPunct/>
        <w:topLinePunct w:val="0"/>
        <w:autoSpaceDE w:val="0"/>
        <w:autoSpaceDN w:val="0"/>
        <w:bidi w:val="0"/>
        <w:adjustRightInd w:val="0"/>
        <w:snapToGrid w:val="0"/>
        <w:spacing w:before="89" w:beforeLines="20" w:line="240" w:lineRule="auto"/>
        <w:ind w:firstLine="504"/>
        <w:textAlignment w:val="baseline"/>
        <w:rPr>
          <w:rFonts w:hint="eastAsia" w:ascii="仿宋" w:hAnsi="仿宋" w:eastAsia="仿宋" w:cs="仿宋"/>
          <w:snapToGrid w:val="0"/>
          <w:color w:val="000000"/>
          <w:spacing w:val="6"/>
          <w:kern w:val="0"/>
          <w:sz w:val="24"/>
          <w:szCs w:val="24"/>
          <w:highlight w:val="none"/>
        </w:rPr>
      </w:pPr>
      <w:r>
        <w:rPr>
          <w:rFonts w:hint="eastAsia" w:ascii="仿宋" w:hAnsi="仿宋" w:eastAsia="仿宋" w:cs="仿宋"/>
          <w:snapToGrid w:val="0"/>
          <w:color w:val="000000"/>
          <w:spacing w:val="6"/>
          <w:kern w:val="0"/>
          <w:sz w:val="24"/>
          <w:szCs w:val="24"/>
          <w:highlight w:val="none"/>
        </w:rPr>
        <w:t>4）建立应急预案：针对可能的数据安全事件或事故，制定详细的应急预案；定期进行应急演练，提高员工对数据安全事件的应对能力；与相关的法律、技术和业务团队建立紧密的协作机制，确保在数据安全事件发生时能够迅速、有效地应对。</w:t>
      </w:r>
    </w:p>
    <w:p>
      <w:pPr>
        <w:ind w:firstLine="640"/>
      </w:pPr>
    </w:p>
    <w:sectPr>
      <w:headerReference r:id="rId23" w:type="first"/>
      <w:headerReference r:id="rId21" w:type="default"/>
      <w:footerReference r:id="rId24" w:type="default"/>
      <w:headerReference r:id="rId22" w:type="even"/>
      <w:pgSz w:w="11906" w:h="16838"/>
      <w:pgMar w:top="998" w:right="998" w:bottom="1451" w:left="133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仿宋_GBK">
    <w:altName w:val="微软雅黑"/>
    <w:panose1 w:val="02000000000000000000"/>
    <w:charset w:val="86"/>
    <w:family w:val="auto"/>
    <w:pitch w:val="default"/>
    <w:sig w:usb0="00000000" w:usb1="00000000" w:usb2="00082016" w:usb3="00000000" w:csb0="00040001" w:csb1="00000000"/>
  </w:font>
  <w:font w:name="方正黑体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auto"/>
    <w:pitch w:val="default"/>
    <w:sig w:usb0="00000000" w:usb1="0000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等线 Light">
    <w:altName w:val="宋体"/>
    <w:panose1 w:val="02010600030101010101"/>
    <w:charset w:val="86"/>
    <w:family w:val="auto"/>
    <w:pitch w:val="default"/>
    <w:sig w:usb0="00000000" w:usb1="00000000" w:usb2="00000016" w:usb3="00000000" w:csb0="0004000F" w:csb1="00000000"/>
  </w:font>
  <w:font w:name="方正大黑简体">
    <w:altName w:val="黑体"/>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KyQwk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CyskMJEwIAABUEAAAOAAAAAAAAAAEA&#10;IAAAAB8BAABkcnMvZTJvRG9jLnhtbFBLBQYAAAAABgAGAFkBAACkBQ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2</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58" w:firstLine="0" w:firstLineChars="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left="0" w:leftChars="0" w:firstLine="0" w:firstLineChars="0"/>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VMiuI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NUyK4hQCAAAVBAAADgAAAAAAAAAB&#10;ACAAAAAfAQAAZHJzL2Uyb0RvYy54bWxQSwUGAAAAAAYABgBZAQAApQU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fkHQ0V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dHJFiWYKOzr9+H76+fv06xuBDgC11s/gt7HwDN0702HRg95DGefu&#10;KqfijYkI7ID6eIFXdIHwGDSdTKc5TBy24YH82VO4dT68F0aRKBTUYX8JVnZY+9C7Di6xmjarRsq0&#10;Q6lJW9Drq7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fkHQ0VAgAAFQQAAA4AAAAAAAAA&#10;AQAgAAAAHwEAAGRycy9lMm9Eb2MueG1sUEsFBgAAAAAGAAYAWQEAAKYFA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10</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19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3aO4V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hRDOFHZ1+fD/9fDj9+kagA0Ct9TP4bSw8Q/fOdFj0oPdQxrm7&#10;yql4YyICO6A+XuAVXSA8Bk0n02kOE4dteCB/9hhunQ/vhVEkCgV12F+ClR3WPvSug0usps2qkTLt&#10;UGrSFvTq9d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q3aO4VAgAAFQQAAA4AAAAAAAAA&#10;AQAgAAAAHwEAAGRycy9lMm9Eb2MueG1sUEsFBgAAAAAGAAYAWQEAAKYFA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19</w:t>
                    </w:r>
                    <w:r>
                      <w:fldChar w:fldCharType="end"/>
                    </w:r>
                    <w: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18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gf/wEV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dHJFiWYKOzr9+H76+fv06xuBDgC11s/gt7HwDN0702HRg95DGefu&#10;KqfijYkI7ID6eIFXdIHwGDSdTKc5TBy24YH82VO4dT68F0aRKBTUYX8JVnZY+9C7Di6xmjarRsq0&#10;Q6lJW9Drt1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Dgf/wEVAgAAFQQAAA4AAAAAAAAA&#10;AQAgAAAAHwEAAGRycy9lMm9Eb2MueG1sUEsFBgAAAAAGAAYAWQEAAKYFA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18</w:t>
                    </w:r>
                    <w:r>
                      <w:fldChar w:fldCharType="end"/>
                    </w:r>
                    <w:r>
                      <w:t xml:space="preserve"> 页</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21</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jc w:val="center"/>
      <w:rPr>
        <w:b/>
        <w:bCs/>
        <w:sz w:val="21"/>
        <w:szCs w:val="16"/>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tabs>
        <w:tab w:val="clear" w:pos="4153"/>
      </w:tabs>
      <w:ind w:firstLine="360"/>
      <w:jc w:val="right"/>
    </w:pPr>
    <w:r>
      <w:rPr>
        <w:rFonts w:hint="eastAsia"/>
      </w:rPr>
      <w:tab/>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8F581BF"/>
    <w:multiLevelType w:val="singleLevel"/>
    <w:tmpl w:val="D8F581BF"/>
    <w:lvl w:ilvl="0" w:tentative="0">
      <w:start w:val="1"/>
      <w:numFmt w:val="decimal"/>
      <w:suff w:val="nothing"/>
      <w:lvlText w:val="%1）"/>
      <w:lvlJc w:val="left"/>
    </w:lvl>
  </w:abstractNum>
  <w:abstractNum w:abstractNumId="1">
    <w:nsid w:val="00000001"/>
    <w:multiLevelType w:val="singleLevel"/>
    <w:tmpl w:val="00000001"/>
    <w:lvl w:ilvl="0" w:tentative="0">
      <w:start w:val="1"/>
      <w:numFmt w:val="decimal"/>
      <w:pStyle w:val="43"/>
      <w:lvlText w:val="表%1"/>
      <w:lvlJc w:val="left"/>
      <w:pPr>
        <w:tabs>
          <w:tab w:val="left" w:pos="420"/>
        </w:tabs>
        <w:ind w:left="0" w:firstLine="0"/>
      </w:pPr>
      <w:rPr>
        <w:rFonts w:hint="default" w:ascii="Times New Roman" w:hAnsi="Times New Roman" w:eastAsia="方正仿宋_GBK"/>
        <w:b/>
        <w:bCs/>
        <w:sz w:val="32"/>
        <w:szCs w:val="32"/>
      </w:rPr>
    </w:lvl>
  </w:abstractNum>
  <w:abstractNum w:abstractNumId="2">
    <w:nsid w:val="00000003"/>
    <w:multiLevelType w:val="multilevel"/>
    <w:tmpl w:val="0000000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360" w:firstLine="0"/>
      </w:pPr>
      <w:rPr>
        <w:rFonts w:hint="eastAsia" w:ascii="黑体" w:hAnsi="Times New Roman" w:eastAsia="黑体" w:cs="Times New Roman"/>
        <w:b w:val="0"/>
        <w:bCs w:val="0"/>
        <w:i w:val="0"/>
        <w:iCs w:val="0"/>
        <w:caps w:val="0"/>
        <w:spacing w:val="0"/>
        <w:kern w:val="0"/>
        <w:position w:val="0"/>
        <w:sz w:val="21"/>
        <w:szCs w:val="21"/>
        <w:u w:val="none"/>
      </w:rPr>
    </w:lvl>
    <w:lvl w:ilvl="2" w:tentative="0">
      <w:start w:val="1"/>
      <w:numFmt w:val="decimal"/>
      <w:pStyle w:val="55"/>
      <w:suff w:val="nothing"/>
      <w:lvlText w:val="%1.%2.%3　"/>
      <w:lvlJc w:val="left"/>
      <w:pPr>
        <w:ind w:left="3828" w:firstLine="0"/>
      </w:pPr>
      <w:rPr>
        <w:rFonts w:hint="eastAsia" w:ascii="黑体" w:hAnsi="Times New Roman" w:eastAsia="黑体"/>
        <w:b w:val="0"/>
        <w:i w:val="0"/>
        <w:sz w:val="21"/>
        <w:lang w:eastAsia="zh-TW"/>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00000005"/>
    <w:multiLevelType w:val="singleLevel"/>
    <w:tmpl w:val="00000005"/>
    <w:lvl w:ilvl="0" w:tentative="0">
      <w:start w:val="1"/>
      <w:numFmt w:val="decimal"/>
      <w:pStyle w:val="44"/>
      <w:lvlText w:val="图%1"/>
      <w:lvlJc w:val="left"/>
      <w:pPr>
        <w:tabs>
          <w:tab w:val="left" w:pos="420"/>
        </w:tabs>
        <w:ind w:left="425" w:hanging="425"/>
      </w:pPr>
      <w:rPr>
        <w:rFonts w:hint="default" w:eastAsia="方正仿宋_GBK"/>
        <w:b/>
        <w:sz w:val="32"/>
      </w:rPr>
    </w:lvl>
  </w:abstractNum>
  <w:abstractNum w:abstractNumId="4">
    <w:nsid w:val="074A5F1E"/>
    <w:multiLevelType w:val="multilevel"/>
    <w:tmpl w:val="074A5F1E"/>
    <w:lvl w:ilvl="0" w:tentative="0">
      <w:start w:val="1"/>
      <w:numFmt w:val="chineseCountingThousand"/>
      <w:pStyle w:val="2"/>
      <w:lvlText w:val="第%1章 "/>
      <w:lvlJc w:val="left"/>
      <w:pPr>
        <w:ind w:left="420" w:hanging="420"/>
      </w:pPr>
      <w:rPr>
        <w:rFonts w:hint="eastAsia" w:ascii="方正黑体_GBK" w:eastAsia="方正黑体_GBK"/>
        <w:sz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E0B8C98"/>
    <w:multiLevelType w:val="singleLevel"/>
    <w:tmpl w:val="3E0B8C98"/>
    <w:lvl w:ilvl="0" w:tentative="0">
      <w:start w:val="1"/>
      <w:numFmt w:val="decimal"/>
      <w:suff w:val="nothing"/>
      <w:lvlText w:val="%1）"/>
      <w:lvlJc w:val="left"/>
    </w:lvl>
  </w:abstractNum>
  <w:abstractNum w:abstractNumId="6">
    <w:nsid w:val="48B459DF"/>
    <w:multiLevelType w:val="multilevel"/>
    <w:tmpl w:val="48B459DF"/>
    <w:lvl w:ilvl="0" w:tentative="0">
      <w:start w:val="1"/>
      <w:numFmt w:val="bullet"/>
      <w:pStyle w:val="3"/>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54CB2A2C"/>
    <w:multiLevelType w:val="multilevel"/>
    <w:tmpl w:val="54CB2A2C"/>
    <w:lvl w:ilvl="0" w:tentative="0">
      <w:start w:val="1"/>
      <w:numFmt w:val="chineseCounting"/>
      <w:lvlText w:val="%1、"/>
      <w:lvlJc w:val="left"/>
      <w:pPr>
        <w:ind w:left="432" w:hanging="432"/>
      </w:pPr>
      <w:rPr>
        <w:rFonts w:hint="eastAsia" w:ascii="Times New Roman" w:hAnsi="Times New Roman" w:eastAsia="方正黑体_GBK"/>
        <w:b/>
        <w:bCs/>
        <w:sz w:val="32"/>
        <w:szCs w:val="32"/>
      </w:rPr>
    </w:lvl>
    <w:lvl w:ilvl="1" w:tentative="0">
      <w:start w:val="1"/>
      <w:numFmt w:val="decimal"/>
      <w:lvlText w:val="%2"/>
      <w:lvlJc w:val="left"/>
      <w:pPr>
        <w:ind w:left="575" w:hanging="575"/>
      </w:pPr>
      <w:rPr>
        <w:rFonts w:hint="eastAsia" w:ascii="宋体" w:hAnsi="宋体" w:eastAsia="宋体" w:cs="宋体"/>
        <w:b/>
      </w:rPr>
    </w:lvl>
    <w:lvl w:ilvl="2" w:tentative="0">
      <w:start w:val="1"/>
      <w:numFmt w:val="decimal"/>
      <w:lvlText w:val="%1.%2.%3"/>
      <w:lvlJc w:val="left"/>
      <w:pPr>
        <w:ind w:left="720" w:hanging="720"/>
      </w:pPr>
      <w:rPr>
        <w:rFonts w:hint="eastAsia" w:ascii="Times New Roman" w:hAnsi="Times New Roman" w:eastAsia="宋体" w:cs="Times New Roman"/>
        <w:b/>
      </w:rPr>
    </w:lvl>
    <w:lvl w:ilvl="3" w:tentative="0">
      <w:start w:val="1"/>
      <w:numFmt w:val="decimal"/>
      <w:pStyle w:val="5"/>
      <w:lvlText w:val="%1.%2.%3.%4"/>
      <w:lvlJc w:val="left"/>
      <w:pPr>
        <w:ind w:left="864" w:hanging="864"/>
      </w:pPr>
      <w:rPr>
        <w:rFonts w:hint="eastAsia" w:ascii="Times New Roman" w:hAnsi="Times New Roman" w:eastAsia="宋体" w:cs="Times New Roman"/>
      </w:rPr>
    </w:lvl>
    <w:lvl w:ilvl="4" w:tentative="0">
      <w:start w:val="1"/>
      <w:numFmt w:val="decimal"/>
      <w:pStyle w:val="6"/>
      <w:lvlText w:val="%1.%2.%3.%4.%5."/>
      <w:lvlJc w:val="left"/>
      <w:pPr>
        <w:ind w:left="1008" w:hanging="1008"/>
      </w:pPr>
      <w:rPr>
        <w:rFonts w:hint="eastAsia"/>
      </w:rPr>
    </w:lvl>
    <w:lvl w:ilvl="5" w:tentative="0">
      <w:start w:val="1"/>
      <w:numFmt w:val="decimal"/>
      <w:pStyle w:val="7"/>
      <w:lvlText w:val="%1.%2.%3.%4.%5.%6."/>
      <w:lvlJc w:val="left"/>
      <w:pPr>
        <w:ind w:left="1151" w:hanging="1151"/>
      </w:pPr>
      <w:rPr>
        <w:rFonts w:hint="eastAsia"/>
      </w:rPr>
    </w:lvl>
    <w:lvl w:ilvl="6" w:tentative="0">
      <w:start w:val="1"/>
      <w:numFmt w:val="decimal"/>
      <w:pStyle w:val="8"/>
      <w:lvlText w:val="%1.%2.%3.%4.%5.%6.%7."/>
      <w:lvlJc w:val="left"/>
      <w:pPr>
        <w:ind w:left="1296" w:hanging="1296"/>
      </w:pPr>
      <w:rPr>
        <w:rFonts w:hint="eastAsia"/>
      </w:rPr>
    </w:lvl>
    <w:lvl w:ilvl="7" w:tentative="0">
      <w:start w:val="1"/>
      <w:numFmt w:val="decimal"/>
      <w:pStyle w:val="9"/>
      <w:lvlText w:val="%1.%2.%3.%4.%5.%6.%7.%8."/>
      <w:lvlJc w:val="left"/>
      <w:pPr>
        <w:ind w:left="1440" w:hanging="1440"/>
      </w:pPr>
      <w:rPr>
        <w:rFonts w:hint="eastAsia"/>
      </w:rPr>
    </w:lvl>
    <w:lvl w:ilvl="8" w:tentative="0">
      <w:start w:val="1"/>
      <w:numFmt w:val="decimal"/>
      <w:pStyle w:val="10"/>
      <w:lvlText w:val="%1.%2.%3.%4.%5.%6.%7.%8.%9."/>
      <w:lvlJc w:val="left"/>
      <w:pPr>
        <w:ind w:left="1583" w:hanging="1583"/>
      </w:pPr>
      <w:rPr>
        <w:rFonts w:hint="eastAsia"/>
      </w:rPr>
    </w:lvl>
  </w:abstractNum>
  <w:num w:numId="1">
    <w:abstractNumId w:val="4"/>
  </w:num>
  <w:num w:numId="2">
    <w:abstractNumId w:val="6"/>
  </w:num>
  <w:num w:numId="3">
    <w:abstractNumId w:val="7"/>
  </w:num>
  <w:num w:numId="4">
    <w:abstractNumId w:val="1"/>
  </w:num>
  <w:num w:numId="5">
    <w:abstractNumId w:val="3"/>
  </w:num>
  <w:num w:numId="6">
    <w:abstractNumId w:val="2"/>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HorizontalSpacing w:val="160"/>
  <w:drawingGridVerticalSpacing w:val="435"/>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xNTdhN2VlYTI1MzAzZTNkM2VhMDhmMmViYzgyMjQifQ=="/>
  </w:docVars>
  <w:rsids>
    <w:rsidRoot w:val="007A75F3"/>
    <w:rsid w:val="000F1DE8"/>
    <w:rsid w:val="001016DC"/>
    <w:rsid w:val="001033EE"/>
    <w:rsid w:val="001F6F50"/>
    <w:rsid w:val="002876F3"/>
    <w:rsid w:val="00325DBE"/>
    <w:rsid w:val="00373D86"/>
    <w:rsid w:val="00396C73"/>
    <w:rsid w:val="00410068"/>
    <w:rsid w:val="005171BB"/>
    <w:rsid w:val="005D120D"/>
    <w:rsid w:val="00664E67"/>
    <w:rsid w:val="006B68B7"/>
    <w:rsid w:val="007A75F3"/>
    <w:rsid w:val="008400BF"/>
    <w:rsid w:val="00873239"/>
    <w:rsid w:val="00AF57C4"/>
    <w:rsid w:val="00B352C7"/>
    <w:rsid w:val="00B405D8"/>
    <w:rsid w:val="00B65168"/>
    <w:rsid w:val="00BB583E"/>
    <w:rsid w:val="00C643D5"/>
    <w:rsid w:val="00C807EB"/>
    <w:rsid w:val="00D7128D"/>
    <w:rsid w:val="00DA3D1B"/>
    <w:rsid w:val="00E8111B"/>
    <w:rsid w:val="00E8641E"/>
    <w:rsid w:val="00F31DDD"/>
    <w:rsid w:val="00F84996"/>
    <w:rsid w:val="00FB5450"/>
    <w:rsid w:val="00FE2958"/>
    <w:rsid w:val="01E626CD"/>
    <w:rsid w:val="02BF3353"/>
    <w:rsid w:val="0428139E"/>
    <w:rsid w:val="04A171B4"/>
    <w:rsid w:val="055C521B"/>
    <w:rsid w:val="06EC2C01"/>
    <w:rsid w:val="0781507A"/>
    <w:rsid w:val="07D653C6"/>
    <w:rsid w:val="09BF5CA6"/>
    <w:rsid w:val="0A623C43"/>
    <w:rsid w:val="0AF37283"/>
    <w:rsid w:val="0B30303F"/>
    <w:rsid w:val="0C3B16D4"/>
    <w:rsid w:val="0CB3F650"/>
    <w:rsid w:val="0D0311C9"/>
    <w:rsid w:val="0D0774A4"/>
    <w:rsid w:val="0E2A1FC8"/>
    <w:rsid w:val="0FD10BBE"/>
    <w:rsid w:val="10873860"/>
    <w:rsid w:val="11F8418B"/>
    <w:rsid w:val="12CB32FF"/>
    <w:rsid w:val="13CA6537"/>
    <w:rsid w:val="146502D7"/>
    <w:rsid w:val="15916DD0"/>
    <w:rsid w:val="17F0380D"/>
    <w:rsid w:val="18E13BCB"/>
    <w:rsid w:val="1BFD1194"/>
    <w:rsid w:val="1C133D17"/>
    <w:rsid w:val="1E340C41"/>
    <w:rsid w:val="1E384076"/>
    <w:rsid w:val="21B93937"/>
    <w:rsid w:val="232211A0"/>
    <w:rsid w:val="24855565"/>
    <w:rsid w:val="258E6E89"/>
    <w:rsid w:val="264971EE"/>
    <w:rsid w:val="27AA0124"/>
    <w:rsid w:val="27BD1C99"/>
    <w:rsid w:val="2837338E"/>
    <w:rsid w:val="2B554C70"/>
    <w:rsid w:val="2C2004C0"/>
    <w:rsid w:val="2CC06903"/>
    <w:rsid w:val="2CEFA276"/>
    <w:rsid w:val="2D5624B2"/>
    <w:rsid w:val="2DF9496D"/>
    <w:rsid w:val="2ED34943"/>
    <w:rsid w:val="2F5E419E"/>
    <w:rsid w:val="2F981B5B"/>
    <w:rsid w:val="2FB05303"/>
    <w:rsid w:val="30817D16"/>
    <w:rsid w:val="30A9101A"/>
    <w:rsid w:val="318B0720"/>
    <w:rsid w:val="333B1D03"/>
    <w:rsid w:val="35F75900"/>
    <w:rsid w:val="37B00EE0"/>
    <w:rsid w:val="388E16C8"/>
    <w:rsid w:val="3AC0143A"/>
    <w:rsid w:val="3C226BF6"/>
    <w:rsid w:val="3CA82872"/>
    <w:rsid w:val="3D637ABC"/>
    <w:rsid w:val="3DFF38A6"/>
    <w:rsid w:val="3E847B80"/>
    <w:rsid w:val="3F9D2F76"/>
    <w:rsid w:val="3FCFC56C"/>
    <w:rsid w:val="3FDD483D"/>
    <w:rsid w:val="3FDDF978"/>
    <w:rsid w:val="3FFF7216"/>
    <w:rsid w:val="407A3AC3"/>
    <w:rsid w:val="41464ACC"/>
    <w:rsid w:val="42673AA9"/>
    <w:rsid w:val="42812D88"/>
    <w:rsid w:val="42A11B51"/>
    <w:rsid w:val="43922C3E"/>
    <w:rsid w:val="44CD1324"/>
    <w:rsid w:val="45A96B53"/>
    <w:rsid w:val="46AF0597"/>
    <w:rsid w:val="46B75DE7"/>
    <w:rsid w:val="47266AC9"/>
    <w:rsid w:val="47857C94"/>
    <w:rsid w:val="49E014BA"/>
    <w:rsid w:val="4A2C089A"/>
    <w:rsid w:val="4B5E0F27"/>
    <w:rsid w:val="4BBF74EC"/>
    <w:rsid w:val="4E49741B"/>
    <w:rsid w:val="4EDCCD3C"/>
    <w:rsid w:val="502E69EF"/>
    <w:rsid w:val="50B15413"/>
    <w:rsid w:val="558554F5"/>
    <w:rsid w:val="56002BDB"/>
    <w:rsid w:val="56513437"/>
    <w:rsid w:val="56891C54"/>
    <w:rsid w:val="569E667C"/>
    <w:rsid w:val="57EF541D"/>
    <w:rsid w:val="59A85A64"/>
    <w:rsid w:val="5B5B3059"/>
    <w:rsid w:val="5BCE43FF"/>
    <w:rsid w:val="5C807FD4"/>
    <w:rsid w:val="5DDF020F"/>
    <w:rsid w:val="5E77136E"/>
    <w:rsid w:val="5FD9064C"/>
    <w:rsid w:val="5FF27A39"/>
    <w:rsid w:val="5FFE02FD"/>
    <w:rsid w:val="603911C4"/>
    <w:rsid w:val="60A86F24"/>
    <w:rsid w:val="61596B81"/>
    <w:rsid w:val="627FCBE9"/>
    <w:rsid w:val="657B15BD"/>
    <w:rsid w:val="66417024"/>
    <w:rsid w:val="69230CE3"/>
    <w:rsid w:val="6AF61374"/>
    <w:rsid w:val="6BBA7F9E"/>
    <w:rsid w:val="6CC00868"/>
    <w:rsid w:val="6D8C0711"/>
    <w:rsid w:val="6F95673A"/>
    <w:rsid w:val="71EA0150"/>
    <w:rsid w:val="73B7B50D"/>
    <w:rsid w:val="740111EC"/>
    <w:rsid w:val="740918AA"/>
    <w:rsid w:val="751A73BE"/>
    <w:rsid w:val="77B07B65"/>
    <w:rsid w:val="77CEC075"/>
    <w:rsid w:val="78566F3D"/>
    <w:rsid w:val="794B06FE"/>
    <w:rsid w:val="79FFFFAC"/>
    <w:rsid w:val="7B1165E0"/>
    <w:rsid w:val="7BE76506"/>
    <w:rsid w:val="7C6B0305"/>
    <w:rsid w:val="7EF5E5D5"/>
    <w:rsid w:val="7FFFECD4"/>
    <w:rsid w:val="875B7677"/>
    <w:rsid w:val="9FFFB596"/>
    <w:rsid w:val="B7FAAFC1"/>
    <w:rsid w:val="BE6BFB2A"/>
    <w:rsid w:val="BF7C373D"/>
    <w:rsid w:val="BFD7F22A"/>
    <w:rsid w:val="BFDFF389"/>
    <w:rsid w:val="CB87F191"/>
    <w:rsid w:val="D77F5C82"/>
    <w:rsid w:val="DDF5836D"/>
    <w:rsid w:val="ECEF480A"/>
    <w:rsid w:val="EF773DF4"/>
    <w:rsid w:val="F5FF6327"/>
    <w:rsid w:val="F5FF803F"/>
    <w:rsid w:val="F6959610"/>
    <w:rsid w:val="F7AD1C28"/>
    <w:rsid w:val="F8FB6DFC"/>
    <w:rsid w:val="FDB7DA29"/>
    <w:rsid w:val="FDEFA7D6"/>
    <w:rsid w:val="FDFD0E63"/>
    <w:rsid w:val="FEEDB617"/>
    <w:rsid w:val="FFB6B947"/>
    <w:rsid w:val="FFB9807E"/>
    <w:rsid w:val="FFBF2516"/>
    <w:rsid w:val="FFD78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803" w:firstLineChars="200"/>
      <w:jc w:val="both"/>
    </w:pPr>
    <w:rPr>
      <w:rFonts w:ascii="Times New Roman" w:hAnsi="Times New Roman" w:eastAsia="方正仿宋_GBK" w:cs="宋体"/>
      <w:kern w:val="2"/>
      <w:sz w:val="32"/>
      <w:szCs w:val="22"/>
      <w:lang w:val="en-US" w:eastAsia="zh-CN" w:bidi="ar-SA"/>
    </w:rPr>
  </w:style>
  <w:style w:type="paragraph" w:styleId="2">
    <w:name w:val="heading 1"/>
    <w:basedOn w:val="1"/>
    <w:next w:val="1"/>
    <w:link w:val="29"/>
    <w:qFormat/>
    <w:uiPriority w:val="9"/>
    <w:pPr>
      <w:keepNext/>
      <w:keepLines/>
      <w:numPr>
        <w:ilvl w:val="0"/>
        <w:numId w:val="1"/>
      </w:numPr>
      <w:tabs>
        <w:tab w:val="left" w:pos="0"/>
        <w:tab w:val="left" w:pos="420"/>
      </w:tabs>
      <w:ind w:firstLine="0" w:firstLineChars="0"/>
      <w:jc w:val="center"/>
      <w:outlineLvl w:val="0"/>
    </w:pPr>
    <w:rPr>
      <w:rFonts w:ascii="方正黑体_GBK" w:eastAsia="方正黑体_GBK"/>
      <w:b/>
      <w:kern w:val="44"/>
    </w:rPr>
  </w:style>
  <w:style w:type="paragraph" w:styleId="3">
    <w:name w:val="heading 2"/>
    <w:basedOn w:val="1"/>
    <w:next w:val="1"/>
    <w:link w:val="30"/>
    <w:qFormat/>
    <w:uiPriority w:val="9"/>
    <w:pPr>
      <w:numPr>
        <w:ilvl w:val="0"/>
        <w:numId w:val="2"/>
      </w:numPr>
      <w:tabs>
        <w:tab w:val="left" w:pos="0"/>
      </w:tabs>
      <w:snapToGrid w:val="0"/>
      <w:spacing w:beforeAutospacing="1" w:afterAutospacing="1"/>
      <w:ind w:firstLine="0" w:firstLineChars="0"/>
      <w:jc w:val="left"/>
      <w:outlineLvl w:val="1"/>
    </w:pPr>
    <w:rPr>
      <w:rFonts w:hint="eastAsia" w:ascii="方正黑体_GBK" w:hAnsi="宋体" w:eastAsia="方正黑体_GBK" w:cs="Times New Roman"/>
      <w:b/>
      <w:bCs/>
      <w:kern w:val="0"/>
      <w:sz w:val="28"/>
      <w:szCs w:val="36"/>
    </w:rPr>
  </w:style>
  <w:style w:type="paragraph" w:styleId="4">
    <w:name w:val="heading 3"/>
    <w:basedOn w:val="1"/>
    <w:next w:val="1"/>
    <w:link w:val="31"/>
    <w:qFormat/>
    <w:uiPriority w:val="0"/>
    <w:pPr>
      <w:keepNext/>
      <w:keepLines/>
      <w:tabs>
        <w:tab w:val="left" w:pos="0"/>
      </w:tabs>
      <w:ind w:firstLine="200"/>
      <w:jc w:val="left"/>
      <w:outlineLvl w:val="2"/>
    </w:pPr>
    <w:rPr>
      <w:rFonts w:ascii="方正黑体_GBK"/>
      <w:b/>
      <w:sz w:val="24"/>
    </w:rPr>
  </w:style>
  <w:style w:type="paragraph" w:styleId="5">
    <w:name w:val="heading 4"/>
    <w:basedOn w:val="1"/>
    <w:next w:val="1"/>
    <w:link w:val="32"/>
    <w:qFormat/>
    <w:uiPriority w:val="0"/>
    <w:pPr>
      <w:keepNext/>
      <w:keepLines/>
      <w:numPr>
        <w:ilvl w:val="3"/>
        <w:numId w:val="3"/>
      </w:numPr>
      <w:ind w:firstLine="0" w:firstLineChars="0"/>
      <w:outlineLvl w:val="3"/>
    </w:pPr>
    <w:rPr>
      <w:rFonts w:eastAsia="宋体"/>
      <w:b/>
      <w:sz w:val="28"/>
    </w:rPr>
  </w:style>
  <w:style w:type="paragraph" w:styleId="6">
    <w:name w:val="heading 5"/>
    <w:basedOn w:val="1"/>
    <w:next w:val="1"/>
    <w:link w:val="33"/>
    <w:qFormat/>
    <w:uiPriority w:val="0"/>
    <w:pPr>
      <w:keepNext/>
      <w:keepLines/>
      <w:numPr>
        <w:ilvl w:val="4"/>
        <w:numId w:val="3"/>
      </w:numPr>
      <w:spacing w:before="280" w:after="290" w:line="372" w:lineRule="auto"/>
      <w:ind w:firstLine="0" w:firstLineChars="0"/>
      <w:outlineLvl w:val="4"/>
    </w:pPr>
    <w:rPr>
      <w:b/>
      <w:sz w:val="28"/>
    </w:rPr>
  </w:style>
  <w:style w:type="paragraph" w:styleId="7">
    <w:name w:val="heading 6"/>
    <w:basedOn w:val="1"/>
    <w:next w:val="1"/>
    <w:link w:val="34"/>
    <w:qFormat/>
    <w:uiPriority w:val="0"/>
    <w:pPr>
      <w:keepNext/>
      <w:keepLines/>
      <w:numPr>
        <w:ilvl w:val="5"/>
        <w:numId w:val="3"/>
      </w:numPr>
      <w:spacing w:before="240" w:after="64" w:line="317" w:lineRule="auto"/>
      <w:ind w:firstLine="0" w:firstLineChars="0"/>
      <w:outlineLvl w:val="5"/>
    </w:pPr>
    <w:rPr>
      <w:rFonts w:ascii="Arial" w:hAnsi="Arial" w:eastAsia="黑体"/>
      <w:b/>
      <w:sz w:val="24"/>
    </w:rPr>
  </w:style>
  <w:style w:type="paragraph" w:styleId="8">
    <w:name w:val="heading 7"/>
    <w:basedOn w:val="1"/>
    <w:next w:val="1"/>
    <w:link w:val="35"/>
    <w:qFormat/>
    <w:uiPriority w:val="0"/>
    <w:pPr>
      <w:keepNext/>
      <w:keepLines/>
      <w:numPr>
        <w:ilvl w:val="6"/>
        <w:numId w:val="3"/>
      </w:numPr>
      <w:spacing w:before="240" w:after="64" w:line="317" w:lineRule="auto"/>
      <w:ind w:firstLine="0" w:firstLineChars="0"/>
      <w:outlineLvl w:val="6"/>
    </w:pPr>
    <w:rPr>
      <w:b/>
      <w:sz w:val="24"/>
    </w:rPr>
  </w:style>
  <w:style w:type="paragraph" w:styleId="9">
    <w:name w:val="heading 8"/>
    <w:basedOn w:val="1"/>
    <w:next w:val="1"/>
    <w:link w:val="36"/>
    <w:qFormat/>
    <w:uiPriority w:val="0"/>
    <w:pPr>
      <w:keepNext/>
      <w:keepLines/>
      <w:numPr>
        <w:ilvl w:val="7"/>
        <w:numId w:val="3"/>
      </w:numPr>
      <w:spacing w:before="240" w:after="64" w:line="317" w:lineRule="auto"/>
      <w:ind w:firstLine="0" w:firstLineChars="0"/>
      <w:outlineLvl w:val="7"/>
    </w:pPr>
    <w:rPr>
      <w:rFonts w:ascii="Arial" w:hAnsi="Arial" w:eastAsia="黑体"/>
      <w:sz w:val="24"/>
    </w:rPr>
  </w:style>
  <w:style w:type="paragraph" w:styleId="10">
    <w:name w:val="heading 9"/>
    <w:basedOn w:val="1"/>
    <w:next w:val="1"/>
    <w:link w:val="37"/>
    <w:qFormat/>
    <w:uiPriority w:val="0"/>
    <w:pPr>
      <w:keepNext/>
      <w:keepLines/>
      <w:numPr>
        <w:ilvl w:val="8"/>
        <w:numId w:val="3"/>
      </w:numPr>
      <w:spacing w:before="240" w:after="64" w:line="317" w:lineRule="auto"/>
      <w:ind w:firstLine="0" w:firstLineChars="0"/>
      <w:outlineLvl w:val="8"/>
    </w:pPr>
    <w:rPr>
      <w:rFonts w:ascii="Arial" w:hAnsi="Arial" w:eastAsia="黑体"/>
      <w:sz w:val="21"/>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text"/>
    <w:basedOn w:val="1"/>
    <w:link w:val="39"/>
    <w:qFormat/>
    <w:uiPriority w:val="0"/>
    <w:pPr>
      <w:jc w:val="left"/>
    </w:pPr>
  </w:style>
  <w:style w:type="paragraph" w:styleId="12">
    <w:name w:val="Body Text"/>
    <w:basedOn w:val="1"/>
    <w:link w:val="38"/>
    <w:qFormat/>
    <w:uiPriority w:val="99"/>
    <w:pPr>
      <w:spacing w:after="120"/>
    </w:pPr>
  </w:style>
  <w:style w:type="paragraph" w:styleId="13">
    <w:name w:val="Body Text Indent"/>
    <w:basedOn w:val="1"/>
    <w:next w:val="14"/>
    <w:qFormat/>
    <w:uiPriority w:val="0"/>
    <w:pPr>
      <w:ind w:firstLine="420"/>
    </w:pPr>
    <w:rPr>
      <w:szCs w:val="20"/>
    </w:rPr>
  </w:style>
  <w:style w:type="paragraph" w:styleId="14">
    <w:name w:val="envelope return"/>
    <w:basedOn w:val="1"/>
    <w:unhideWhenUsed/>
    <w:qFormat/>
    <w:uiPriority w:val="99"/>
    <w:pPr>
      <w:snapToGrid w:val="0"/>
    </w:pPr>
    <w:rPr>
      <w:rFonts w:ascii="Arial" w:hAnsi="Arial"/>
    </w:rPr>
  </w:style>
  <w:style w:type="paragraph" w:styleId="15">
    <w:name w:val="toc 3"/>
    <w:basedOn w:val="1"/>
    <w:next w:val="1"/>
    <w:qFormat/>
    <w:uiPriority w:val="39"/>
    <w:pPr>
      <w:widowControl/>
      <w:spacing w:after="100" w:line="259" w:lineRule="auto"/>
      <w:ind w:left="440" w:firstLine="0" w:firstLineChars="0"/>
      <w:jc w:val="left"/>
    </w:pPr>
    <w:rPr>
      <w:rFonts w:ascii="Calibri" w:hAnsi="Calibri" w:eastAsia="宋体" w:cs="Times New Roman"/>
      <w:kern w:val="0"/>
      <w:sz w:val="22"/>
    </w:rPr>
  </w:style>
  <w:style w:type="paragraph" w:styleId="16">
    <w:name w:val="footer"/>
    <w:basedOn w:val="1"/>
    <w:link w:val="28"/>
    <w:unhideWhenUsed/>
    <w:qFormat/>
    <w:uiPriority w:val="99"/>
    <w:pPr>
      <w:tabs>
        <w:tab w:val="center" w:pos="4153"/>
        <w:tab w:val="right" w:pos="8306"/>
      </w:tabs>
      <w:snapToGrid w:val="0"/>
      <w:jc w:val="left"/>
    </w:pPr>
    <w:rPr>
      <w:sz w:val="18"/>
      <w:szCs w:val="18"/>
    </w:rPr>
  </w:style>
  <w:style w:type="paragraph" w:styleId="17">
    <w:name w:val="header"/>
    <w:basedOn w:val="1"/>
    <w:link w:val="27"/>
    <w:unhideWhenUsed/>
    <w:qFormat/>
    <w:uiPriority w:val="99"/>
    <w:pPr>
      <w:tabs>
        <w:tab w:val="center" w:pos="4153"/>
        <w:tab w:val="right" w:pos="8306"/>
      </w:tabs>
      <w:snapToGrid w:val="0"/>
      <w:jc w:val="center"/>
    </w:pPr>
    <w:rPr>
      <w:sz w:val="18"/>
      <w:szCs w:val="18"/>
    </w:rPr>
  </w:style>
  <w:style w:type="paragraph" w:styleId="18">
    <w:name w:val="toc 1"/>
    <w:basedOn w:val="1"/>
    <w:next w:val="1"/>
    <w:qFormat/>
    <w:uiPriority w:val="39"/>
    <w:pPr>
      <w:widowControl/>
      <w:spacing w:line="240" w:lineRule="auto"/>
      <w:ind w:firstLine="0" w:firstLineChars="0"/>
      <w:jc w:val="left"/>
    </w:pPr>
    <w:rPr>
      <w:rFonts w:ascii="微软雅黑" w:hAnsi="微软雅黑" w:eastAsia="微软雅黑" w:cs="Times New Roman"/>
      <w:b/>
      <w:kern w:val="0"/>
      <w:sz w:val="28"/>
    </w:rPr>
  </w:style>
  <w:style w:type="paragraph" w:styleId="19">
    <w:name w:val="footnote text"/>
    <w:basedOn w:val="1"/>
    <w:link w:val="40"/>
    <w:qFormat/>
    <w:uiPriority w:val="0"/>
    <w:pPr>
      <w:snapToGrid w:val="0"/>
      <w:jc w:val="left"/>
    </w:pPr>
    <w:rPr>
      <w:sz w:val="18"/>
    </w:rPr>
  </w:style>
  <w:style w:type="paragraph" w:styleId="20">
    <w:name w:val="toc 2"/>
    <w:basedOn w:val="1"/>
    <w:next w:val="1"/>
    <w:qFormat/>
    <w:uiPriority w:val="39"/>
    <w:pPr>
      <w:widowControl/>
      <w:spacing w:line="240" w:lineRule="auto"/>
      <w:ind w:left="221" w:firstLine="0" w:firstLineChars="0"/>
      <w:jc w:val="left"/>
    </w:pPr>
    <w:rPr>
      <w:rFonts w:ascii="微软雅黑" w:hAnsi="微软雅黑" w:eastAsia="微软雅黑" w:cs="Times New Roman"/>
      <w:kern w:val="0"/>
      <w:sz w:val="22"/>
    </w:rPr>
  </w:style>
  <w:style w:type="paragraph" w:styleId="21">
    <w:name w:val="HTML Preformatted"/>
    <w:basedOn w:val="1"/>
    <w:link w:val="4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23">
    <w:name w:val="Table Grid"/>
    <w:basedOn w:val="22"/>
    <w:qFormat/>
    <w:uiPriority w:val="5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styleId="25">
    <w:name w:val="Strong"/>
    <w:basedOn w:val="24"/>
    <w:qFormat/>
    <w:uiPriority w:val="0"/>
    <w:rPr>
      <w:b/>
    </w:rPr>
  </w:style>
  <w:style w:type="character" w:styleId="26">
    <w:name w:val="Hyperlink"/>
    <w:basedOn w:val="24"/>
    <w:qFormat/>
    <w:uiPriority w:val="99"/>
    <w:rPr>
      <w:color w:val="0000FF"/>
      <w:u w:val="single"/>
    </w:rPr>
  </w:style>
  <w:style w:type="character" w:customStyle="1" w:styleId="27">
    <w:name w:val="页眉 字符"/>
    <w:basedOn w:val="24"/>
    <w:link w:val="17"/>
    <w:qFormat/>
    <w:uiPriority w:val="99"/>
    <w:rPr>
      <w:sz w:val="18"/>
      <w:szCs w:val="18"/>
    </w:rPr>
  </w:style>
  <w:style w:type="character" w:customStyle="1" w:styleId="28">
    <w:name w:val="页脚 字符"/>
    <w:basedOn w:val="24"/>
    <w:link w:val="16"/>
    <w:qFormat/>
    <w:uiPriority w:val="99"/>
    <w:rPr>
      <w:sz w:val="18"/>
      <w:szCs w:val="18"/>
    </w:rPr>
  </w:style>
  <w:style w:type="character" w:customStyle="1" w:styleId="29">
    <w:name w:val="标题 1 字符"/>
    <w:basedOn w:val="24"/>
    <w:link w:val="2"/>
    <w:qFormat/>
    <w:uiPriority w:val="9"/>
    <w:rPr>
      <w:rFonts w:ascii="方正黑体_GBK" w:hAnsi="Times New Roman" w:eastAsia="方正黑体_GBK" w:cs="宋体"/>
      <w:b/>
      <w:kern w:val="44"/>
      <w:sz w:val="32"/>
      <w:szCs w:val="22"/>
    </w:rPr>
  </w:style>
  <w:style w:type="character" w:customStyle="1" w:styleId="30">
    <w:name w:val="标题 2 字符"/>
    <w:basedOn w:val="24"/>
    <w:link w:val="3"/>
    <w:qFormat/>
    <w:uiPriority w:val="9"/>
    <w:rPr>
      <w:rFonts w:ascii="方正黑体_GBK" w:hAnsi="宋体" w:eastAsia="方正黑体_GBK" w:cs="Times New Roman"/>
      <w:b/>
      <w:bCs/>
      <w:sz w:val="28"/>
      <w:szCs w:val="36"/>
    </w:rPr>
  </w:style>
  <w:style w:type="character" w:customStyle="1" w:styleId="31">
    <w:name w:val="标题 3 字符"/>
    <w:basedOn w:val="24"/>
    <w:link w:val="4"/>
    <w:qFormat/>
    <w:uiPriority w:val="0"/>
    <w:rPr>
      <w:rFonts w:ascii="方正黑体_GBK" w:hAnsi="Times New Roman" w:eastAsia="方正仿宋_GBK" w:cs="宋体"/>
      <w:b/>
      <w:kern w:val="2"/>
      <w:sz w:val="24"/>
      <w:szCs w:val="22"/>
    </w:rPr>
  </w:style>
  <w:style w:type="character" w:customStyle="1" w:styleId="32">
    <w:name w:val="标题 4 字符"/>
    <w:basedOn w:val="24"/>
    <w:link w:val="5"/>
    <w:qFormat/>
    <w:uiPriority w:val="0"/>
    <w:rPr>
      <w:rFonts w:ascii="Times New Roman" w:hAnsi="Times New Roman" w:eastAsia="宋体" w:cs="宋体"/>
      <w:b/>
      <w:sz w:val="28"/>
    </w:rPr>
  </w:style>
  <w:style w:type="character" w:customStyle="1" w:styleId="33">
    <w:name w:val="标题 5 字符"/>
    <w:basedOn w:val="24"/>
    <w:link w:val="6"/>
    <w:qFormat/>
    <w:uiPriority w:val="0"/>
    <w:rPr>
      <w:rFonts w:ascii="Times New Roman" w:hAnsi="Times New Roman" w:eastAsia="方正仿宋_GBK" w:cs="宋体"/>
      <w:b/>
      <w:sz w:val="28"/>
    </w:rPr>
  </w:style>
  <w:style w:type="character" w:customStyle="1" w:styleId="34">
    <w:name w:val="标题 6 字符"/>
    <w:basedOn w:val="24"/>
    <w:link w:val="7"/>
    <w:qFormat/>
    <w:uiPriority w:val="0"/>
    <w:rPr>
      <w:rFonts w:ascii="Arial" w:hAnsi="Arial" w:eastAsia="黑体" w:cs="宋体"/>
      <w:b/>
      <w:sz w:val="24"/>
    </w:rPr>
  </w:style>
  <w:style w:type="character" w:customStyle="1" w:styleId="35">
    <w:name w:val="标题 7 字符"/>
    <w:basedOn w:val="24"/>
    <w:link w:val="8"/>
    <w:qFormat/>
    <w:uiPriority w:val="0"/>
    <w:rPr>
      <w:rFonts w:ascii="Times New Roman" w:hAnsi="Times New Roman" w:eastAsia="方正仿宋_GBK" w:cs="宋体"/>
      <w:b/>
      <w:sz w:val="24"/>
    </w:rPr>
  </w:style>
  <w:style w:type="character" w:customStyle="1" w:styleId="36">
    <w:name w:val="标题 8 字符"/>
    <w:basedOn w:val="24"/>
    <w:link w:val="9"/>
    <w:qFormat/>
    <w:uiPriority w:val="0"/>
    <w:rPr>
      <w:rFonts w:ascii="Arial" w:hAnsi="Arial" w:eastAsia="黑体" w:cs="宋体"/>
      <w:sz w:val="24"/>
    </w:rPr>
  </w:style>
  <w:style w:type="character" w:customStyle="1" w:styleId="37">
    <w:name w:val="标题 9 字符"/>
    <w:basedOn w:val="24"/>
    <w:link w:val="10"/>
    <w:qFormat/>
    <w:uiPriority w:val="0"/>
    <w:rPr>
      <w:rFonts w:ascii="Arial" w:hAnsi="Arial" w:eastAsia="黑体" w:cs="宋体"/>
    </w:rPr>
  </w:style>
  <w:style w:type="character" w:customStyle="1" w:styleId="38">
    <w:name w:val="正文文本 字符"/>
    <w:basedOn w:val="24"/>
    <w:link w:val="12"/>
    <w:qFormat/>
    <w:uiPriority w:val="99"/>
    <w:rPr>
      <w:rFonts w:ascii="Times New Roman" w:hAnsi="Times New Roman" w:eastAsia="方正仿宋_GBK" w:cs="宋体"/>
      <w:sz w:val="32"/>
    </w:rPr>
  </w:style>
  <w:style w:type="character" w:customStyle="1" w:styleId="39">
    <w:name w:val="批注文字 字符"/>
    <w:basedOn w:val="24"/>
    <w:link w:val="11"/>
    <w:qFormat/>
    <w:uiPriority w:val="0"/>
    <w:rPr>
      <w:rFonts w:ascii="Times New Roman" w:hAnsi="Times New Roman" w:eastAsia="方正仿宋_GBK" w:cs="宋体"/>
      <w:sz w:val="32"/>
    </w:rPr>
  </w:style>
  <w:style w:type="character" w:customStyle="1" w:styleId="40">
    <w:name w:val="脚注文本 字符"/>
    <w:basedOn w:val="24"/>
    <w:link w:val="19"/>
    <w:qFormat/>
    <w:uiPriority w:val="0"/>
    <w:rPr>
      <w:rFonts w:ascii="Times New Roman" w:hAnsi="Times New Roman" w:eastAsia="方正仿宋_GBK" w:cs="宋体"/>
      <w:sz w:val="18"/>
    </w:rPr>
  </w:style>
  <w:style w:type="character" w:customStyle="1" w:styleId="41">
    <w:name w:val="HTML 预设格式 字符"/>
    <w:basedOn w:val="24"/>
    <w:link w:val="21"/>
    <w:qFormat/>
    <w:uiPriority w:val="0"/>
    <w:rPr>
      <w:rFonts w:ascii="宋体" w:hAnsi="宋体" w:eastAsia="宋体" w:cs="宋体"/>
      <w:kern w:val="0"/>
      <w:sz w:val="24"/>
      <w:szCs w:val="24"/>
    </w:rPr>
  </w:style>
  <w:style w:type="paragraph" w:customStyle="1" w:styleId="42">
    <w:name w:val="图标备注"/>
    <w:basedOn w:val="1"/>
    <w:qFormat/>
    <w:uiPriority w:val="0"/>
    <w:pPr>
      <w:spacing w:line="240" w:lineRule="auto"/>
      <w:ind w:firstLine="0" w:firstLineChars="0"/>
    </w:pPr>
    <w:rPr>
      <w:rFonts w:eastAsia="仿宋"/>
    </w:rPr>
  </w:style>
  <w:style w:type="paragraph" w:customStyle="1" w:styleId="43">
    <w:name w:val="表格标题"/>
    <w:basedOn w:val="1"/>
    <w:qFormat/>
    <w:uiPriority w:val="0"/>
    <w:pPr>
      <w:numPr>
        <w:ilvl w:val="0"/>
        <w:numId w:val="4"/>
      </w:numPr>
      <w:spacing w:line="240" w:lineRule="auto"/>
      <w:ind w:firstLineChars="0"/>
      <w:jc w:val="center"/>
    </w:pPr>
    <w:rPr>
      <w:b/>
    </w:rPr>
  </w:style>
  <w:style w:type="paragraph" w:customStyle="1" w:styleId="44">
    <w:name w:val="图标题"/>
    <w:basedOn w:val="1"/>
    <w:qFormat/>
    <w:uiPriority w:val="0"/>
    <w:pPr>
      <w:numPr>
        <w:ilvl w:val="0"/>
        <w:numId w:val="5"/>
      </w:numPr>
      <w:spacing w:line="240" w:lineRule="auto"/>
      <w:ind w:firstLine="0" w:firstLineChars="0"/>
      <w:jc w:val="center"/>
    </w:pPr>
    <w:rPr>
      <w:b/>
    </w:rPr>
  </w:style>
  <w:style w:type="paragraph" w:customStyle="1" w:styleId="45">
    <w:name w:val="表内格式"/>
    <w:basedOn w:val="1"/>
    <w:qFormat/>
    <w:uiPriority w:val="0"/>
    <w:pPr>
      <w:spacing w:line="240" w:lineRule="auto"/>
      <w:ind w:firstLine="0" w:firstLineChars="0"/>
    </w:pPr>
    <w:rPr>
      <w:sz w:val="24"/>
    </w:rPr>
  </w:style>
  <w:style w:type="paragraph" w:customStyle="1" w:styleId="46">
    <w:name w:val="大标题"/>
    <w:basedOn w:val="1"/>
    <w:qFormat/>
    <w:uiPriority w:val="0"/>
    <w:pPr>
      <w:ind w:firstLine="0" w:firstLineChars="0"/>
      <w:jc w:val="center"/>
    </w:pPr>
    <w:rPr>
      <w:rFonts w:ascii="Calibri" w:hAnsi="Calibri" w:eastAsia="方正小标宋_GBK" w:cs="Times New Roman"/>
      <w:b/>
      <w:sz w:val="44"/>
    </w:rPr>
  </w:style>
  <w:style w:type="paragraph" w:customStyle="1" w:styleId="47">
    <w:name w:val="图片格式"/>
    <w:basedOn w:val="1"/>
    <w:qFormat/>
    <w:uiPriority w:val="0"/>
    <w:pPr>
      <w:ind w:firstLine="0" w:firstLineChars="0"/>
      <w:jc w:val="center"/>
    </w:pPr>
    <w:rPr>
      <w:b/>
    </w:rPr>
  </w:style>
  <w:style w:type="paragraph" w:customStyle="1" w:styleId="48">
    <w:name w:val="封面副标题"/>
    <w:basedOn w:val="1"/>
    <w:qFormat/>
    <w:uiPriority w:val="0"/>
    <w:pPr>
      <w:ind w:firstLine="5301" w:firstLineChars="1200"/>
      <w:jc w:val="left"/>
    </w:pPr>
    <w:rPr>
      <w:rFonts w:eastAsia="方正小标宋_GBK" w:cs="Times New Roman"/>
      <w:sz w:val="24"/>
    </w:rPr>
  </w:style>
  <w:style w:type="paragraph" w:styleId="49">
    <w:name w:val="List Paragraph"/>
    <w:basedOn w:val="1"/>
    <w:qFormat/>
    <w:uiPriority w:val="99"/>
    <w:pPr>
      <w:ind w:firstLine="420"/>
    </w:pPr>
  </w:style>
  <w:style w:type="paragraph" w:customStyle="1" w:styleId="50">
    <w:name w:val="TOC 标题1"/>
    <w:basedOn w:val="2"/>
    <w:next w:val="1"/>
    <w:qFormat/>
    <w:uiPriority w:val="39"/>
    <w:pPr>
      <w:widowControl/>
      <w:tabs>
        <w:tab w:val="clear" w:pos="0"/>
        <w:tab w:val="clear" w:pos="420"/>
      </w:tabs>
      <w:spacing w:before="240" w:line="259" w:lineRule="auto"/>
      <w:outlineLvl w:val="9"/>
    </w:pPr>
    <w:rPr>
      <w:rFonts w:ascii="Calibri Light" w:hAnsi="Calibri Light" w:eastAsia="宋体"/>
      <w:b w:val="0"/>
      <w:color w:val="2E75B6"/>
      <w:kern w:val="0"/>
      <w:szCs w:val="32"/>
    </w:rPr>
  </w:style>
  <w:style w:type="character" w:customStyle="1" w:styleId="51">
    <w:name w:val="未处理的提及1"/>
    <w:basedOn w:val="24"/>
    <w:qFormat/>
    <w:uiPriority w:val="99"/>
    <w:rPr>
      <w:color w:val="605E5C"/>
      <w:shd w:val="clear" w:color="auto" w:fill="E1DFDD"/>
    </w:rPr>
  </w:style>
  <w:style w:type="table" w:customStyle="1" w:styleId="52">
    <w:name w:val="Table Normal"/>
    <w:qFormat/>
    <w:uiPriority w:val="0"/>
    <w:rPr>
      <w:rFonts w:ascii="Times New Roman" w:hAnsi="Times New Roman" w:eastAsia="宋体" w:cs="Times New Roman"/>
    </w:rPr>
    <w:tblPr>
      <w:tblLayout w:type="fixed"/>
      <w:tblCellMar>
        <w:top w:w="0" w:type="dxa"/>
        <w:left w:w="0" w:type="dxa"/>
        <w:bottom w:w="0" w:type="dxa"/>
        <w:right w:w="0" w:type="dxa"/>
      </w:tblCellMar>
    </w:tblPr>
  </w:style>
  <w:style w:type="paragraph" w:customStyle="1" w:styleId="53">
    <w:name w:val="Table Text"/>
    <w:basedOn w:val="1"/>
    <w:qFormat/>
    <w:uiPriority w:val="0"/>
    <w:rPr>
      <w:rFonts w:ascii="宋体" w:hAnsi="宋体" w:eastAsia="宋体"/>
      <w:sz w:val="21"/>
      <w:szCs w:val="21"/>
      <w:lang w:eastAsia="en-US"/>
    </w:rPr>
  </w:style>
  <w:style w:type="paragraph" w:customStyle="1" w:styleId="54">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55">
    <w:name w:val="二级无"/>
    <w:qFormat/>
    <w:uiPriority w:val="0"/>
    <w:pPr>
      <w:numPr>
        <w:ilvl w:val="2"/>
        <w:numId w:val="6"/>
      </w:numPr>
      <w:outlineLvl w:val="3"/>
    </w:pPr>
    <w:rPr>
      <w:rFonts w:ascii="宋体" w:hAnsi="Times New Roman" w:eastAsia="宋体" w:cs="Times New Roman"/>
      <w:sz w:val="21"/>
      <w:szCs w:val="21"/>
      <w:lang w:val="en-US" w:eastAsia="zh-CN" w:bidi="ar-SA"/>
    </w:rPr>
  </w:style>
  <w:style w:type="character" w:customStyle="1" w:styleId="56">
    <w:name w:val="font21"/>
    <w:basedOn w:val="24"/>
    <w:qFormat/>
    <w:uiPriority w:val="0"/>
    <w:rPr>
      <w:rFonts w:hint="eastAsia" w:ascii="方正仿宋_GBK" w:hAnsi="方正仿宋_GBK" w:eastAsia="方正仿宋_GBK" w:cs="方正仿宋_GBK"/>
      <w:b/>
      <w:bCs/>
      <w:color w:val="000000"/>
      <w:sz w:val="21"/>
      <w:szCs w:val="21"/>
      <w:u w:val="none"/>
    </w:rPr>
  </w:style>
  <w:style w:type="character" w:customStyle="1" w:styleId="57">
    <w:name w:val="font51"/>
    <w:basedOn w:val="24"/>
    <w:qFormat/>
    <w:uiPriority w:val="0"/>
    <w:rPr>
      <w:rFonts w:hint="eastAsia" w:ascii="方正仿宋_GBK" w:hAnsi="方正仿宋_GBK" w:eastAsia="方正仿宋_GBK" w:cs="方正仿宋_GBK"/>
      <w:color w:val="000000"/>
      <w:sz w:val="20"/>
      <w:szCs w:val="20"/>
      <w:u w:val="none"/>
      <w:vertAlign w:val="subscript"/>
    </w:rPr>
  </w:style>
  <w:style w:type="character" w:customStyle="1" w:styleId="58">
    <w:name w:val="font41"/>
    <w:basedOn w:val="24"/>
    <w:qFormat/>
    <w:uiPriority w:val="0"/>
    <w:rPr>
      <w:rFonts w:hint="eastAsia" w:ascii="方正仿宋_GBK" w:hAnsi="方正仿宋_GBK" w:eastAsia="方正仿宋_GBK" w:cs="方正仿宋_GBK"/>
      <w:color w:val="000000"/>
      <w:sz w:val="20"/>
      <w:szCs w:val="20"/>
      <w:u w:val="none"/>
    </w:rPr>
  </w:style>
  <w:style w:type="character" w:customStyle="1" w:styleId="59">
    <w:name w:val="font61"/>
    <w:basedOn w:val="24"/>
    <w:qFormat/>
    <w:uiPriority w:val="0"/>
    <w:rPr>
      <w:rFonts w:hint="eastAsia" w:ascii="方正仿宋_GBK" w:hAnsi="方正仿宋_GBK" w:eastAsia="方正仿宋_GBK" w:cs="方正仿宋_GBK"/>
      <w:color w:val="000000"/>
      <w:sz w:val="20"/>
      <w:szCs w:val="20"/>
      <w:u w:val="none"/>
    </w:rPr>
  </w:style>
  <w:style w:type="character" w:customStyle="1" w:styleId="60">
    <w:name w:val="font71"/>
    <w:basedOn w:val="24"/>
    <w:qFormat/>
    <w:uiPriority w:val="0"/>
    <w:rPr>
      <w:rFonts w:hint="eastAsia" w:ascii="方正仿宋_GBK" w:hAnsi="方正仿宋_GBK" w:eastAsia="方正仿宋_GBK" w:cs="方正仿宋_GBK"/>
      <w:color w:val="000000"/>
      <w:sz w:val="20"/>
      <w:szCs w:val="20"/>
      <w:u w:val="none"/>
      <w:vertAlign w:val="subscript"/>
    </w:rPr>
  </w:style>
  <w:style w:type="paragraph" w:customStyle="1" w:styleId="61">
    <w:name w:val="TOC 标题2"/>
    <w:basedOn w:val="2"/>
    <w:next w:val="1"/>
    <w:unhideWhenUsed/>
    <w:qFormat/>
    <w:uiPriority w:val="39"/>
    <w:pPr>
      <w:widowControl/>
      <w:tabs>
        <w:tab w:val="clear" w:pos="0"/>
        <w:tab w:val="clear" w:pos="420"/>
      </w:tabs>
      <w:spacing w:before="240" w:line="259" w:lineRule="auto"/>
      <w:outlineLvl w:val="9"/>
    </w:pPr>
    <w:rPr>
      <w:rFonts w:asciiTheme="majorHAnsi" w:hAnsiTheme="majorHAnsi" w:eastAsiaTheme="majorEastAsia" w:cstheme="majorBidi"/>
      <w:b w:val="0"/>
      <w:color w:val="2F5597" w:themeColor="accent1" w:themeShade="BF"/>
      <w:kern w:val="0"/>
      <w:szCs w:val="3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3.png"/><Relationship Id="rId27" Type="http://schemas.openxmlformats.org/officeDocument/2006/relationships/image" Target="media/image2.jpeg"/><Relationship Id="rId26" Type="http://schemas.openxmlformats.org/officeDocument/2006/relationships/image" Target="media/image1.jpeg"/><Relationship Id="rId25" Type="http://schemas.openxmlformats.org/officeDocument/2006/relationships/theme" Target="theme/theme1.xml"/><Relationship Id="rId24" Type="http://schemas.openxmlformats.org/officeDocument/2006/relationships/footer" Target="footer10.xml"/><Relationship Id="rId23" Type="http://schemas.openxmlformats.org/officeDocument/2006/relationships/header" Target="header12.xml"/><Relationship Id="rId22" Type="http://schemas.openxmlformats.org/officeDocument/2006/relationships/header" Target="header11.xml"/><Relationship Id="rId21" Type="http://schemas.openxmlformats.org/officeDocument/2006/relationships/header" Target="head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9.xml"/><Relationship Id="rId17" Type="http://schemas.openxmlformats.org/officeDocument/2006/relationships/header" Target="head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19662</Words>
  <Characters>21398</Characters>
  <Lines>224</Lines>
  <Paragraphs>63</Paragraphs>
  <TotalTime>21</TotalTime>
  <ScaleCrop>false</ScaleCrop>
  <LinksUpToDate>false</LinksUpToDate>
  <CharactersWithSpaces>21845</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2024-08-24T03:31:00Z</dcterms:created>
  <dc:creator>jacob stark</dc:creator>
  <cp:lastModifiedBy>Administrator</cp:lastModifiedBy>
  <dcterms:modified xsi:type="dcterms:W3CDTF">2024-10-09T00:45:12Z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D788F4E397C4221D1CE7EF66A9E16318_43</vt:lpwstr>
  </property>
</Properties>
</file>